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6</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05026</w:t>
      </w:r>
      <w:bookmarkStart w:id="0" w:name="_GoBack"/>
      <w:bookmarkEnd w:id="0"/>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Fukuoka, Japan May 22</w:t>
      </w:r>
      <w:r>
        <w:rPr>
          <w:rFonts w:hint="eastAsia" w:ascii="Arial" w:hAnsi="Arial" w:eastAsia="宋体" w:cs="Arial"/>
          <w:b/>
          <w:bCs/>
          <w:kern w:val="0"/>
          <w:sz w:val="24"/>
          <w:szCs w:val="24"/>
          <w:vertAlign w:val="superscript"/>
        </w:rPr>
        <w:t>nd</w:t>
      </w:r>
      <w:r>
        <w:rPr>
          <w:rFonts w:hint="eastAsia" w:ascii="Arial" w:hAnsi="Arial" w:eastAsia="宋体" w:cs="Arial"/>
          <w:b/>
          <w:bCs/>
          <w:kern w:val="0"/>
          <w:sz w:val="24"/>
          <w:szCs w:val="24"/>
          <w:lang w:val="en-US" w:eastAsia="zh-CN"/>
        </w:rPr>
        <w:t>-</w:t>
      </w:r>
      <w:r>
        <w:rPr>
          <w:rFonts w:hint="eastAsia" w:ascii="Arial" w:hAnsi="Arial" w:eastAsia="宋体" w:cs="Arial"/>
          <w:b/>
          <w:bCs/>
          <w:kern w:val="0"/>
          <w:sz w:val="24"/>
          <w:szCs w:val="24"/>
        </w:rPr>
        <w:t>26</w:t>
      </w:r>
      <w:r>
        <w:rPr>
          <w:rFonts w:hint="eastAsia" w:ascii="Arial" w:hAnsi="Arial" w:eastAsia="宋体" w:cs="Arial"/>
          <w:b/>
          <w:bCs/>
          <w:kern w:val="0"/>
          <w:sz w:val="24"/>
          <w:szCs w:val="24"/>
          <w:vertAlign w:val="superscript"/>
        </w:rPr>
        <w:t>t</w:t>
      </w:r>
      <w:r>
        <w:rPr>
          <w:rFonts w:hint="eastAsia" w:ascii="Arial" w:hAnsi="Arial" w:eastAsia="宋体" w:cs="Arial"/>
          <w:b/>
          <w:bCs/>
          <w:kern w:val="0"/>
          <w:sz w:val="24"/>
          <w:szCs w:val="24"/>
          <w:vertAlign w:val="superscript"/>
          <w:lang w:val="en-US" w:eastAsia="zh-CN"/>
        </w:rPr>
        <w: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NW-side data collection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the NW-side data collection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Agreements</w:t>
      </w:r>
    </w:p>
    <w:p>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For the NW-side data collection related to beam management use cases, RAN2 to consider gNB-centric and OAM-centric approaches</w:t>
      </w:r>
      <w:r>
        <w:rPr>
          <w:rFonts w:hint="default" w:ascii="Arial" w:hAnsi="Arial" w:cs="Arial"/>
          <w:sz w:val="20"/>
          <w:szCs w:val="22"/>
        </w:rPr>
        <w:tab/>
      </w:r>
    </w:p>
    <w:p>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We aim that the same measurement framework is applied to both gNB-centric data collection and OAM-centric data collection for NW-side data collection.</w:t>
      </w:r>
    </w:p>
    <w:p>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3</w:t>
      </w:r>
      <w:r>
        <w:rPr>
          <w:rFonts w:hint="default" w:ascii="Arial" w:hAnsi="Arial" w:cs="Arial"/>
          <w:sz w:val="20"/>
          <w:szCs w:val="22"/>
        </w:rPr>
        <w:tab/>
      </w:r>
      <w:r>
        <w:rPr>
          <w:rFonts w:hint="default" w:ascii="Arial" w:hAnsi="Arial" w:cs="Arial"/>
          <w:sz w:val="20"/>
          <w:szCs w:val="22"/>
        </w:rPr>
        <w:t>RAN2 supports enhancements to MDT for data collection framework for training.  FSS Whether to enhance logged or immediate MDT</w:t>
      </w:r>
    </w:p>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mechanisms for NW-side data collection</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Beam management</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last meeting, RAN2 agreed to consider gNB-centric and OAM-centric approaches for NW-side data collection, and aim to apply the same measurement framework for them.</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gNB-centric solution, there are two legacy measurement frameworks for RRC_CONNECTED data collection: L3 RRM measurement and L1 CSI measurement. As shown in Table 7.3.1.2-1 of TR 38.843 [2], the payload size of L1 measurement is smaller than L3 measurement, and the report latency of L1 measurement is lower than L3 measurement.</w:t>
      </w:r>
    </w:p>
    <w:p>
      <w:pPr>
        <w:numPr>
          <w:ilvl w:val="0"/>
          <w:numId w:val="0"/>
        </w:numPr>
        <w:spacing w:before="120" w:beforeLines="50" w:after="120" w:line="260" w:lineRule="exact"/>
        <w:jc w:val="center"/>
        <w:rPr>
          <w:rFonts w:hint="default" w:ascii="Arial" w:hAnsi="Arial" w:eastAsia="宋体" w:cs="Arial"/>
          <w:b/>
          <w:bCs/>
          <w:sz w:val="20"/>
          <w:szCs w:val="20"/>
          <w:lang w:val="en-US" w:eastAsia="zh-CN"/>
        </w:rPr>
      </w:pPr>
      <w:r>
        <w:rPr>
          <w:rFonts w:hint="default" w:ascii="Arial" w:hAnsi="Arial" w:cs="Arial"/>
          <w:b/>
          <w:bCs/>
          <w:sz w:val="20"/>
          <w:szCs w:val="20"/>
          <w:lang w:eastAsia="zh-CN"/>
        </w:rPr>
        <w:t>Table 7.3.1.2-1. Existing data collection methods identified.</w:t>
      </w:r>
      <w:r>
        <w:rPr>
          <w:rFonts w:hint="eastAsia" w:ascii="Arial" w:hAnsi="Arial" w:cs="Arial"/>
          <w:b/>
          <w:bCs/>
          <w:sz w:val="20"/>
          <w:szCs w:val="20"/>
          <w:lang w:val="en-US" w:eastAsia="zh-CN"/>
        </w:rPr>
        <w:t xml:space="preserve"> </w:t>
      </w:r>
      <w:r>
        <w:rPr>
          <w:rFonts w:hint="eastAsia" w:ascii="Arial" w:hAnsi="Arial" w:cs="Arial"/>
          <w:b/>
          <w:bCs/>
          <w:sz w:val="20"/>
          <w:szCs w:val="20"/>
          <w:vertAlign w:val="superscript"/>
          <w:lang w:val="en-US" w:eastAsia="zh-CN"/>
        </w:rPr>
        <w:t>[2]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134"/>
        <w:gridCol w:w="1417"/>
        <w:gridCol w:w="2552"/>
        <w:gridCol w:w="141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zh-CN"/>
              </w:rPr>
              <w:t xml:space="preserve">Involved network </w:t>
            </w:r>
            <w:r>
              <w:rPr>
                <w:rFonts w:ascii="Arial" w:hAnsi="Arial" w:cs="Arial"/>
                <w:b/>
                <w:bCs/>
                <w:sz w:val="18"/>
                <w:szCs w:val="18"/>
                <w:lang w:eastAsia="en-GB"/>
              </w:rPr>
              <w:t>entity (termination point)</w:t>
            </w:r>
          </w:p>
        </w:tc>
        <w:tc>
          <w:tcPr>
            <w:tcW w:w="851"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RRC state to generate data</w:t>
            </w:r>
          </w:p>
        </w:tc>
        <w:tc>
          <w:tcPr>
            <w:tcW w:w="1134"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Max payload size per reporting*</w:t>
            </w:r>
          </w:p>
        </w:tc>
        <w:tc>
          <w:tcPr>
            <w:tcW w:w="1417"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Contents to be collected</w:t>
            </w:r>
          </w:p>
        </w:tc>
        <w:tc>
          <w:tcPr>
            <w:tcW w:w="2552" w:type="dxa"/>
            <w:shd w:val="clear" w:color="auto" w:fill="D8D8D8" w:themeFill="background1" w:themeFillShade="D9"/>
          </w:tcPr>
          <w:p>
            <w:pPr>
              <w:overflowPunct w:val="0"/>
              <w:autoSpaceDE w:val="0"/>
              <w:autoSpaceDN w:val="0"/>
              <w:adjustRightInd w:val="0"/>
              <w:spacing w:after="0"/>
              <w:ind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b/>
                <w:bCs/>
                <w:sz w:val="18"/>
                <w:szCs w:val="18"/>
                <w:lang w:eastAsia="en-GB"/>
              </w:rPr>
              <w:t>End-to-End report latency**</w:t>
            </w:r>
          </w:p>
        </w:tc>
        <w:tc>
          <w:tcPr>
            <w:tcW w:w="1417"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Report type</w:t>
            </w:r>
          </w:p>
        </w:tc>
        <w:tc>
          <w:tcPr>
            <w:tcW w:w="1134"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Security and Privacy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shd w:val="clear" w:color="auto" w:fill="D8D8D8" w:themeFill="background1" w:themeFillShade="D9"/>
          </w:tcPr>
          <w:p>
            <w:pPr>
              <w:spacing w:after="0"/>
              <w:jc w:val="center"/>
              <w:rPr>
                <w:rFonts w:ascii="Arial" w:hAnsi="Arial" w:cs="Arial"/>
                <w:b/>
                <w:bCs/>
                <w:sz w:val="18"/>
                <w:szCs w:val="18"/>
                <w:lang w:eastAsia="en-GB"/>
              </w:rPr>
            </w:pPr>
            <w:r>
              <w:rPr>
                <w:rFonts w:ascii="Arial" w:hAnsi="Arial" w:cs="Arial"/>
                <w:b/>
                <w:bCs/>
                <w:sz w:val="18"/>
                <w:szCs w:val="18"/>
                <w:lang w:eastAsia="en-GB"/>
              </w:rPr>
              <w:t>Method:  L3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rPr>
                <w:rFonts w:ascii="Arial" w:hAnsi="Arial" w:cs="Arial"/>
                <w:sz w:val="18"/>
                <w:szCs w:val="18"/>
                <w:lang w:eastAsia="en-GB"/>
              </w:rPr>
            </w:pPr>
            <w:r>
              <w:rPr>
                <w:rFonts w:ascii="Arial" w:hAnsi="Arial" w:cs="Arial"/>
                <w:sz w:val="18"/>
                <w:szCs w:val="18"/>
                <w:lang w:eastAsia="en-GB"/>
              </w:rPr>
              <w:t>gNB</w:t>
            </w:r>
          </w:p>
        </w:tc>
        <w:tc>
          <w:tcPr>
            <w:tcW w:w="851" w:type="dxa"/>
          </w:tcPr>
          <w:p>
            <w:pPr>
              <w:spacing w:after="0"/>
              <w:rPr>
                <w:rFonts w:ascii="Arial" w:hAnsi="Arial" w:cs="Arial"/>
                <w:sz w:val="18"/>
                <w:szCs w:val="18"/>
                <w:lang w:eastAsia="en-GB"/>
              </w:rPr>
            </w:pPr>
            <w:r>
              <w:rPr>
                <w:rFonts w:ascii="Arial" w:hAnsi="Arial" w:cs="Arial"/>
                <w:sz w:val="18"/>
                <w:szCs w:val="18"/>
                <w:lang w:eastAsia="en-GB"/>
              </w:rPr>
              <w:t>CONNECTED</w:t>
            </w:r>
          </w:p>
        </w:tc>
        <w:tc>
          <w:tcPr>
            <w:tcW w:w="1134" w:type="dxa"/>
          </w:tcPr>
          <w:p>
            <w:pPr>
              <w:spacing w:after="0"/>
              <w:rPr>
                <w:rFonts w:ascii="Arial" w:hAnsi="Arial" w:cs="Arial"/>
                <w:sz w:val="18"/>
                <w:szCs w:val="18"/>
                <w:lang w:eastAsia="en-GB"/>
              </w:rPr>
            </w:pPr>
            <w:r>
              <w:rPr>
                <w:rFonts w:ascii="Arial" w:hAnsi="Arial" w:cs="Arial"/>
                <w:sz w:val="18"/>
                <w:szCs w:val="18"/>
                <w:lang w:eastAsia="en-GB"/>
              </w:rPr>
              <w:t>&lt;9kbyte</w:t>
            </w:r>
          </w:p>
        </w:tc>
        <w:tc>
          <w:tcPr>
            <w:tcW w:w="1417" w:type="dxa"/>
          </w:tcPr>
          <w:p>
            <w:pPr>
              <w:spacing w:after="0"/>
              <w:rPr>
                <w:rFonts w:ascii="Arial" w:hAnsi="Arial" w:cs="Arial"/>
                <w:sz w:val="18"/>
                <w:szCs w:val="18"/>
                <w:lang w:eastAsia="en-GB"/>
              </w:rPr>
            </w:pPr>
            <w:r>
              <w:rPr>
                <w:rFonts w:ascii="Arial" w:hAnsi="Arial" w:cs="Arial"/>
                <w:sz w:val="18"/>
                <w:szCs w:val="18"/>
                <w:lang w:eastAsia="en-GB"/>
              </w:rPr>
              <w:t>L3 cell/beam measurements</w:t>
            </w:r>
          </w:p>
        </w:tc>
        <w:tc>
          <w:tcPr>
            <w:tcW w:w="2552" w:type="dxa"/>
          </w:tcPr>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sz w:val="18"/>
                <w:szCs w:val="18"/>
                <w:lang w:eastAsia="en-GB"/>
              </w:rPr>
              <w:t>Procedure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 xml:space="preserve">Report interval: </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l20ms~30min for periodic report</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TTT for event triggered report</w:t>
            </w:r>
          </w:p>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r>
            <w:r>
              <w:rPr>
                <w:rFonts w:ascii="Arial" w:hAnsi="Arial" w:cs="Arial"/>
                <w:sz w:val="18"/>
                <w:szCs w:val="18"/>
                <w:lang w:eastAsia="en-GB"/>
              </w:rPr>
              <w:t>Air interface signalling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20ms (RRC)</w:t>
            </w:r>
          </w:p>
        </w:tc>
        <w:tc>
          <w:tcPr>
            <w:tcW w:w="1417" w:type="dxa"/>
          </w:tcPr>
          <w:p>
            <w:pPr>
              <w:spacing w:after="0"/>
              <w:rPr>
                <w:rFonts w:ascii="Arial" w:hAnsi="Arial" w:cs="Arial"/>
                <w:sz w:val="18"/>
                <w:szCs w:val="18"/>
                <w:lang w:eastAsia="en-GB"/>
              </w:rPr>
            </w:pPr>
            <w:r>
              <w:rPr>
                <w:rFonts w:ascii="Arial" w:hAnsi="Arial" w:cs="Arial"/>
                <w:sz w:val="18"/>
                <w:szCs w:val="18"/>
                <w:lang w:eastAsia="en-GB"/>
              </w:rPr>
              <w:t>- Event triggered report</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Periodic reporting</w:t>
            </w:r>
          </w:p>
        </w:tc>
        <w:tc>
          <w:tcPr>
            <w:tcW w:w="1134" w:type="dxa"/>
          </w:tcPr>
          <w:p>
            <w:pPr>
              <w:spacing w:after="0"/>
              <w:rPr>
                <w:rFonts w:ascii="Arial" w:hAnsi="Arial" w:cs="Arial"/>
                <w:sz w:val="18"/>
                <w:szCs w:val="18"/>
                <w:lang w:eastAsia="en-GB"/>
              </w:rPr>
            </w:pPr>
            <w:r>
              <w:rPr>
                <w:rFonts w:ascii="Arial" w:hAnsi="Arial" w:cs="Arial"/>
                <w:sz w:val="18"/>
                <w:szCs w:val="18"/>
                <w:lang w:eastAsia="en-GB"/>
              </w:rPr>
              <w:t>AS security via RRC message</w:t>
            </w:r>
          </w:p>
          <w:p>
            <w:pPr>
              <w:spacing w:after="0"/>
              <w:rPr>
                <w:rFonts w:ascii="Arial" w:hAnsi="Arial"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shd w:val="clear" w:color="auto" w:fill="D8D8D8" w:themeFill="background1" w:themeFillShade="D9"/>
          </w:tcPr>
          <w:p>
            <w:pPr>
              <w:spacing w:after="0"/>
              <w:jc w:val="center"/>
              <w:rPr>
                <w:rFonts w:ascii="Arial" w:hAnsi="Arial" w:cs="Arial"/>
                <w:b/>
                <w:bCs/>
                <w:sz w:val="18"/>
                <w:szCs w:val="18"/>
                <w:lang w:eastAsia="en-GB"/>
              </w:rPr>
            </w:pPr>
            <w:r>
              <w:rPr>
                <w:rFonts w:ascii="Arial" w:hAnsi="Arial" w:cs="Arial"/>
                <w:b/>
                <w:bCs/>
                <w:sz w:val="18"/>
                <w:szCs w:val="18"/>
                <w:lang w:eastAsia="en-GB"/>
              </w:rPr>
              <w:t>Method:  L1 measurement (CSI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rPr>
                <w:rFonts w:ascii="Arial" w:hAnsi="Arial" w:cs="Arial"/>
                <w:sz w:val="18"/>
                <w:szCs w:val="18"/>
                <w:lang w:eastAsia="en-GB"/>
              </w:rPr>
            </w:pPr>
            <w:r>
              <w:rPr>
                <w:rFonts w:ascii="Arial" w:hAnsi="Arial" w:cs="Arial"/>
                <w:sz w:val="18"/>
                <w:szCs w:val="18"/>
                <w:lang w:eastAsia="en-GB"/>
              </w:rPr>
              <w:t>gNB</w:t>
            </w:r>
          </w:p>
        </w:tc>
        <w:tc>
          <w:tcPr>
            <w:tcW w:w="851" w:type="dxa"/>
          </w:tcPr>
          <w:p>
            <w:pPr>
              <w:spacing w:after="0"/>
              <w:rPr>
                <w:rFonts w:ascii="Arial" w:hAnsi="Arial" w:cs="Arial"/>
                <w:sz w:val="18"/>
                <w:szCs w:val="18"/>
                <w:lang w:eastAsia="en-GB"/>
              </w:rPr>
            </w:pPr>
            <w:r>
              <w:rPr>
                <w:rFonts w:ascii="Arial" w:hAnsi="Arial" w:cs="Arial"/>
                <w:sz w:val="18"/>
                <w:szCs w:val="18"/>
                <w:lang w:eastAsia="en-GB"/>
              </w:rPr>
              <w:t>CONNECTED</w:t>
            </w:r>
          </w:p>
        </w:tc>
        <w:tc>
          <w:tcPr>
            <w:tcW w:w="1134" w:type="dxa"/>
          </w:tcPr>
          <w:p>
            <w:pPr>
              <w:spacing w:after="0"/>
              <w:rPr>
                <w:rFonts w:ascii="Arial" w:hAnsi="Arial" w:cs="Arial"/>
                <w:sz w:val="18"/>
                <w:szCs w:val="18"/>
                <w:lang w:eastAsia="en-GB"/>
              </w:rPr>
            </w:pPr>
            <w:r>
              <w:rPr>
                <w:rFonts w:ascii="Arial" w:hAnsi="Arial" w:cs="Arial"/>
                <w:sz w:val="18"/>
                <w:szCs w:val="18"/>
                <w:lang w:eastAsia="en-GB"/>
              </w:rPr>
              <w:t>&lt;1706bit in PUCCH</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&lt;3840bit in PUSCH</w:t>
            </w:r>
          </w:p>
        </w:tc>
        <w:tc>
          <w:tcPr>
            <w:tcW w:w="1417" w:type="dxa"/>
          </w:tcPr>
          <w:p>
            <w:pPr>
              <w:spacing w:after="0"/>
              <w:rPr>
                <w:rFonts w:ascii="Arial" w:hAnsi="Arial" w:cs="Arial"/>
                <w:sz w:val="18"/>
                <w:szCs w:val="18"/>
                <w:lang w:eastAsia="en-GB"/>
              </w:rPr>
            </w:pPr>
            <w:r>
              <w:rPr>
                <w:rFonts w:ascii="Arial" w:hAnsi="Arial" w:cs="Arial"/>
                <w:sz w:val="18"/>
                <w:szCs w:val="18"/>
                <w:lang w:eastAsia="en-GB"/>
              </w:rPr>
              <w:t>L1 CSI measurement</w:t>
            </w:r>
          </w:p>
        </w:tc>
        <w:tc>
          <w:tcPr>
            <w:tcW w:w="2552" w:type="dxa"/>
          </w:tcPr>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sz w:val="18"/>
                <w:szCs w:val="18"/>
                <w:lang w:eastAsia="en-GB"/>
              </w:rPr>
              <w:t>Procedure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 xml:space="preserve">Report interval: </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 xml:space="preserve">4-320 slot for periodic and semi-persistent report </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 xml:space="preserve">0-32 slot after reception of DCI for aperiodic report </w:t>
            </w:r>
          </w:p>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r>
            <w:r>
              <w:rPr>
                <w:rFonts w:ascii="Arial" w:hAnsi="Arial" w:cs="Arial"/>
                <w:sz w:val="18"/>
                <w:szCs w:val="18"/>
                <w:lang w:eastAsia="en-GB"/>
              </w:rPr>
              <w:t>Air interface signalling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 xml:space="preserve">1 TTI (PUCCH) </w:t>
            </w:r>
          </w:p>
        </w:tc>
        <w:tc>
          <w:tcPr>
            <w:tcW w:w="1417" w:type="dxa"/>
          </w:tcPr>
          <w:p>
            <w:pPr>
              <w:spacing w:after="0"/>
              <w:rPr>
                <w:rFonts w:ascii="Arial" w:hAnsi="Arial" w:cs="Arial"/>
                <w:sz w:val="18"/>
                <w:szCs w:val="18"/>
                <w:lang w:eastAsia="en-GB"/>
              </w:rPr>
            </w:pPr>
            <w:r>
              <w:rPr>
                <w:rFonts w:ascii="Arial" w:hAnsi="Arial" w:cs="Arial"/>
                <w:sz w:val="18"/>
                <w:szCs w:val="18"/>
                <w:lang w:eastAsia="en-GB"/>
              </w:rPr>
              <w:t>- Aperiodic report</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Semi-persistent report</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Periodic report</w:t>
            </w:r>
          </w:p>
        </w:tc>
        <w:tc>
          <w:tcPr>
            <w:tcW w:w="1134" w:type="dxa"/>
          </w:tcPr>
          <w:p>
            <w:pPr>
              <w:spacing w:after="0"/>
              <w:rPr>
                <w:rFonts w:ascii="Arial" w:hAnsi="Arial" w:cs="Arial"/>
                <w:sz w:val="18"/>
                <w:szCs w:val="18"/>
                <w:lang w:eastAsia="en-GB"/>
              </w:rPr>
            </w:pPr>
            <w:r>
              <w:rPr>
                <w:rFonts w:ascii="Arial" w:hAnsi="Arial" w:cs="Arial"/>
                <w:sz w:val="18"/>
                <w:szCs w:val="18"/>
                <w:lang w:eastAsia="en-GB"/>
              </w:rPr>
              <w:t>No AS security</w:t>
            </w:r>
          </w:p>
          <w:p>
            <w:pPr>
              <w:spacing w:after="0"/>
              <w:rPr>
                <w:rFonts w:ascii="Arial" w:hAnsi="Arial" w:cs="Arial"/>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tcPr>
          <w:p>
            <w:pPr>
              <w:spacing w:after="0"/>
              <w:jc w:val="center"/>
              <w:rPr>
                <w:rFonts w:hint="default" w:ascii="Arial" w:hAnsi="Arial" w:cs="Arial" w:eastAsiaTheme="minorEastAsia"/>
                <w:sz w:val="18"/>
                <w:szCs w:val="18"/>
                <w:lang w:val="en-US" w:eastAsia="zh-CN"/>
              </w:rPr>
            </w:pPr>
            <w:r>
              <w:rPr>
                <w:rFonts w:hint="eastAsia" w:ascii="Arial" w:hAnsi="Arial" w:cs="Arial"/>
                <w:b/>
                <w:bCs/>
                <w:i/>
                <w:iCs/>
                <w:sz w:val="18"/>
                <w:szCs w:val="18"/>
                <w:lang w:val="en-US" w:eastAsia="zh-CN"/>
              </w:rPr>
              <w:t>Other methods are omitted</w:t>
            </w:r>
          </w:p>
        </w:tc>
      </w:tr>
    </w:tbl>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Based on the RAN1 reply LS [3], there is no latency requirements on data collection for model training. In our understanding, using the L1 signaling to transfer data for training will significantly increase the signaling overhead and reduce the efficiency of air resources. </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addition, RAN2 aims to apply the same measurement framework for both gNB-centric and OAM-centric approaches. For OAM-centric solution, L3 RRM measurement is used for the configuration and reporting.</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Based on the above analysis, we prefer to use L3 measurement (i.e. RRC signaling) to collect the data for NW-sided model training.</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For gNB-centric solution, L3 measurement (i.e. RRC signaling) is used for collecting the data for NW-sided model training.</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However, in legacy L3 measurements, L1 beam measurement reporting is not supported. Therefore, RAN2 should consider to enhance the L3 measurement to include L1 beam results for data collection for NW-sided model training.  </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2: RAN2 considers to enhance the L3 measurement to include L1 beam results for data collection for NW-sided model training.</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OAM-centric solution, RAN2 agreed to support enhancements on MDT, but FFS on immediate MDT or logged MDT. The differences between immediate MDT and logged MDT is shown in the following table [2], and the basic procedures for them are illustrated in Figure 1.</w:t>
      </w:r>
    </w:p>
    <w:p>
      <w:pPr>
        <w:numPr>
          <w:ilvl w:val="0"/>
          <w:numId w:val="0"/>
        </w:numPr>
        <w:spacing w:before="120" w:beforeLines="50" w:after="120" w:line="260" w:lineRule="exact"/>
        <w:jc w:val="center"/>
        <w:rPr>
          <w:rFonts w:hint="default" w:ascii="Arial" w:hAnsi="Arial" w:eastAsia="宋体" w:cs="Arial"/>
          <w:b/>
          <w:bCs/>
          <w:sz w:val="20"/>
          <w:szCs w:val="20"/>
          <w:lang w:val="en-US" w:eastAsia="zh-CN"/>
        </w:rPr>
      </w:pPr>
      <w:r>
        <w:rPr>
          <w:rFonts w:hint="default" w:ascii="Arial" w:hAnsi="Arial" w:cs="Arial"/>
          <w:b/>
          <w:bCs/>
          <w:sz w:val="20"/>
          <w:szCs w:val="20"/>
          <w:lang w:eastAsia="zh-CN"/>
        </w:rPr>
        <w:t>Table 7.3.1.2-1. Existing data collection methods identified.</w:t>
      </w:r>
      <w:r>
        <w:rPr>
          <w:rFonts w:hint="eastAsia" w:ascii="Arial" w:hAnsi="Arial" w:cs="Arial"/>
          <w:b/>
          <w:bCs/>
          <w:sz w:val="20"/>
          <w:szCs w:val="20"/>
          <w:vertAlign w:val="superscript"/>
          <w:lang w:val="en-US" w:eastAsia="zh-CN"/>
        </w:rPr>
        <w:t>[2]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134"/>
        <w:gridCol w:w="1417"/>
        <w:gridCol w:w="2552"/>
        <w:gridCol w:w="141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zh-CN"/>
              </w:rPr>
              <w:t xml:space="preserve">Involved network </w:t>
            </w:r>
            <w:r>
              <w:rPr>
                <w:rFonts w:ascii="Arial" w:hAnsi="Arial" w:cs="Arial"/>
                <w:b/>
                <w:bCs/>
                <w:sz w:val="18"/>
                <w:szCs w:val="18"/>
                <w:lang w:eastAsia="en-GB"/>
              </w:rPr>
              <w:t>entity (termination point)</w:t>
            </w:r>
          </w:p>
        </w:tc>
        <w:tc>
          <w:tcPr>
            <w:tcW w:w="851"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RRC state to generate data</w:t>
            </w:r>
          </w:p>
        </w:tc>
        <w:tc>
          <w:tcPr>
            <w:tcW w:w="1134"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Max payload size per reporting*</w:t>
            </w:r>
          </w:p>
        </w:tc>
        <w:tc>
          <w:tcPr>
            <w:tcW w:w="1417"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Contents to be collected</w:t>
            </w:r>
          </w:p>
        </w:tc>
        <w:tc>
          <w:tcPr>
            <w:tcW w:w="2552" w:type="dxa"/>
            <w:shd w:val="clear" w:color="auto" w:fill="D8D8D8" w:themeFill="background1" w:themeFillShade="D9"/>
          </w:tcPr>
          <w:p>
            <w:pPr>
              <w:overflowPunct w:val="0"/>
              <w:autoSpaceDE w:val="0"/>
              <w:autoSpaceDN w:val="0"/>
              <w:adjustRightInd w:val="0"/>
              <w:spacing w:after="0"/>
              <w:ind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b/>
                <w:bCs/>
                <w:sz w:val="18"/>
                <w:szCs w:val="18"/>
                <w:lang w:eastAsia="en-GB"/>
              </w:rPr>
              <w:t>End-to-End report latency**</w:t>
            </w:r>
          </w:p>
        </w:tc>
        <w:tc>
          <w:tcPr>
            <w:tcW w:w="1417"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Report type</w:t>
            </w:r>
          </w:p>
        </w:tc>
        <w:tc>
          <w:tcPr>
            <w:tcW w:w="1134" w:type="dxa"/>
            <w:shd w:val="clear" w:color="auto" w:fill="D8D8D8" w:themeFill="background1" w:themeFillShade="D9"/>
          </w:tcPr>
          <w:p>
            <w:pPr>
              <w:spacing w:after="0"/>
              <w:rPr>
                <w:rFonts w:ascii="Arial" w:hAnsi="Arial" w:cs="Arial"/>
                <w:sz w:val="18"/>
                <w:szCs w:val="18"/>
                <w:lang w:eastAsia="en-GB"/>
              </w:rPr>
            </w:pPr>
            <w:r>
              <w:rPr>
                <w:rFonts w:ascii="Arial" w:hAnsi="Arial" w:cs="Arial"/>
                <w:b/>
                <w:bCs/>
                <w:sz w:val="18"/>
                <w:szCs w:val="18"/>
                <w:lang w:eastAsia="en-GB"/>
              </w:rPr>
              <w:t>Security and Privacy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shd w:val="clear" w:color="auto" w:fill="D8D8D8" w:themeFill="background1" w:themeFillShade="D9"/>
          </w:tcPr>
          <w:p>
            <w:pPr>
              <w:spacing w:after="0"/>
              <w:jc w:val="center"/>
              <w:rPr>
                <w:rFonts w:ascii="Arial" w:hAnsi="Arial" w:cs="Arial"/>
                <w:b/>
                <w:bCs/>
                <w:sz w:val="18"/>
                <w:szCs w:val="18"/>
                <w:lang w:eastAsia="en-GB"/>
              </w:rPr>
            </w:pPr>
            <w:r>
              <w:rPr>
                <w:rFonts w:ascii="Arial" w:hAnsi="Arial" w:cs="Arial"/>
                <w:b/>
                <w:bCs/>
                <w:sz w:val="18"/>
                <w:szCs w:val="18"/>
                <w:lang w:eastAsia="en-GB"/>
              </w:rPr>
              <w:t>Method:  Logged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rPr>
                <w:rFonts w:ascii="Arial" w:hAnsi="Arial" w:cs="Arial"/>
                <w:sz w:val="18"/>
                <w:szCs w:val="18"/>
                <w:lang w:eastAsia="en-GB"/>
              </w:rPr>
            </w:pPr>
            <w:r>
              <w:rPr>
                <w:rFonts w:ascii="Arial" w:hAnsi="Arial" w:cs="Arial"/>
                <w:sz w:val="18"/>
                <w:szCs w:val="18"/>
                <w:lang w:eastAsia="en-GB"/>
              </w:rPr>
              <w:t>TCE/OAM</w:t>
            </w:r>
          </w:p>
          <w:p>
            <w:pPr>
              <w:spacing w:after="0"/>
              <w:rPr>
                <w:rFonts w:ascii="Arial" w:hAnsi="Arial" w:cs="Arial"/>
                <w:sz w:val="18"/>
                <w:szCs w:val="18"/>
                <w:lang w:eastAsia="en-GB"/>
              </w:rPr>
            </w:pPr>
            <w:r>
              <w:rPr>
                <w:rFonts w:ascii="Arial" w:hAnsi="Arial" w:cs="Arial"/>
                <w:sz w:val="18"/>
                <w:szCs w:val="18"/>
                <w:lang w:eastAsia="en-GB"/>
              </w:rPr>
              <w:t>(Data can be utilized by gNB)</w:t>
            </w:r>
          </w:p>
        </w:tc>
        <w:tc>
          <w:tcPr>
            <w:tcW w:w="851" w:type="dxa"/>
          </w:tcPr>
          <w:p>
            <w:pPr>
              <w:spacing w:after="0"/>
              <w:rPr>
                <w:rFonts w:ascii="Arial" w:hAnsi="Arial" w:cs="Arial"/>
                <w:sz w:val="18"/>
                <w:szCs w:val="18"/>
                <w:lang w:eastAsia="en-GB"/>
              </w:rPr>
            </w:pPr>
            <w:r>
              <w:rPr>
                <w:rFonts w:ascii="Arial" w:hAnsi="Arial" w:cs="Arial"/>
                <w:sz w:val="18"/>
                <w:szCs w:val="18"/>
                <w:lang w:eastAsia="en-GB"/>
              </w:rPr>
              <w:t>IDLE / INACTIVE</w:t>
            </w:r>
          </w:p>
        </w:tc>
        <w:tc>
          <w:tcPr>
            <w:tcW w:w="1134" w:type="dxa"/>
          </w:tcPr>
          <w:p>
            <w:pPr>
              <w:spacing w:after="0"/>
              <w:rPr>
                <w:rFonts w:ascii="Arial" w:hAnsi="Arial" w:cs="Arial"/>
                <w:sz w:val="18"/>
                <w:szCs w:val="18"/>
                <w:lang w:eastAsia="en-GB"/>
              </w:rPr>
            </w:pPr>
            <w:r>
              <w:rPr>
                <w:rFonts w:ascii="Arial" w:hAnsi="Arial" w:cs="Arial"/>
                <w:sz w:val="18"/>
                <w:szCs w:val="18"/>
                <w:lang w:eastAsia="en-GB"/>
              </w:rPr>
              <w:t>&lt;9kbyte</w:t>
            </w:r>
          </w:p>
        </w:tc>
        <w:tc>
          <w:tcPr>
            <w:tcW w:w="1417" w:type="dxa"/>
          </w:tcPr>
          <w:p>
            <w:pPr>
              <w:spacing w:after="0"/>
              <w:rPr>
                <w:rFonts w:ascii="Arial" w:hAnsi="Arial" w:cs="Arial"/>
                <w:sz w:val="18"/>
                <w:szCs w:val="18"/>
                <w:lang w:eastAsia="en-GB"/>
              </w:rPr>
            </w:pPr>
            <w:r>
              <w:rPr>
                <w:rFonts w:ascii="Arial" w:hAnsi="Arial" w:cs="Arial"/>
                <w:sz w:val="18"/>
                <w:szCs w:val="18"/>
                <w:lang w:eastAsia="en-GB"/>
              </w:rPr>
              <w:t>- L3 cell/beam measurements</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location information</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sensor information</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timing information</w:t>
            </w:r>
          </w:p>
        </w:tc>
        <w:tc>
          <w:tcPr>
            <w:tcW w:w="2552" w:type="dxa"/>
          </w:tcPr>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sz w:val="18"/>
                <w:szCs w:val="18"/>
                <w:lang w:eastAsia="en-GB"/>
              </w:rPr>
              <w:t>Procedure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Latency to enter CONNECTED state</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Latency to receive gNB request signalling (~20ms)</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r>
            <w:r>
              <w:rPr>
                <w:rFonts w:ascii="Arial" w:hAnsi="Arial" w:cs="Arial"/>
                <w:sz w:val="18"/>
                <w:szCs w:val="18"/>
                <w:lang w:eastAsia="en-GB"/>
              </w:rPr>
              <w:t xml:space="preserve">Air interface signalling latency****: </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~20ms (RRC)</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lang w:eastAsia="en-GB"/>
              </w:rPr>
              <w:tab/>
            </w:r>
            <w:r>
              <w:rPr>
                <w:rFonts w:ascii="Arial" w:hAnsi="Arial" w:cs="Arial"/>
                <w:sz w:val="18"/>
                <w:szCs w:val="18"/>
                <w:lang w:eastAsia="en-GB"/>
              </w:rPr>
              <w:t>Other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Forwarding latency between gNB and TCE</w:t>
            </w:r>
          </w:p>
        </w:tc>
        <w:tc>
          <w:tcPr>
            <w:tcW w:w="1417" w:type="dxa"/>
          </w:tcPr>
          <w:p>
            <w:pPr>
              <w:spacing w:after="0"/>
              <w:rPr>
                <w:rFonts w:ascii="Arial" w:hAnsi="Arial" w:cs="Arial"/>
                <w:sz w:val="18"/>
                <w:szCs w:val="18"/>
                <w:lang w:eastAsia="en-GB"/>
              </w:rPr>
            </w:pPr>
            <w:r>
              <w:rPr>
                <w:rFonts w:ascii="Arial" w:hAnsi="Arial" w:cs="Arial"/>
                <w:sz w:val="18"/>
                <w:szCs w:val="18"/>
                <w:lang w:eastAsia="en-GB"/>
              </w:rPr>
              <w:t>Upon gNB request after entering RRC_CONNECTED</w:t>
            </w:r>
          </w:p>
        </w:tc>
        <w:tc>
          <w:tcPr>
            <w:tcW w:w="1134" w:type="dxa"/>
          </w:tcPr>
          <w:p>
            <w:pPr>
              <w:spacing w:after="0"/>
              <w:rPr>
                <w:rFonts w:ascii="Arial" w:hAnsi="Arial" w:cs="Arial"/>
                <w:sz w:val="18"/>
                <w:szCs w:val="18"/>
                <w:lang w:eastAsia="en-GB"/>
              </w:rPr>
            </w:pPr>
            <w:r>
              <w:rPr>
                <w:rFonts w:ascii="Arial" w:hAnsi="Arial" w:cs="Arial"/>
                <w:sz w:val="18"/>
                <w:szCs w:val="18"/>
                <w:lang w:eastAsia="en-GB"/>
              </w:rPr>
              <w:t>AS security via RRC message</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xml:space="preserve">Privacy via user consent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shd w:val="clear" w:color="auto" w:fill="D8D8D8" w:themeFill="background1" w:themeFillShade="D9"/>
          </w:tcPr>
          <w:p>
            <w:pPr>
              <w:spacing w:after="0"/>
              <w:jc w:val="center"/>
              <w:rPr>
                <w:rFonts w:ascii="Arial" w:hAnsi="Arial" w:cs="Arial"/>
                <w:b/>
                <w:bCs/>
                <w:sz w:val="18"/>
                <w:szCs w:val="18"/>
                <w:lang w:eastAsia="en-GB"/>
              </w:rPr>
            </w:pPr>
            <w:r>
              <w:rPr>
                <w:rFonts w:ascii="Arial" w:hAnsi="Arial" w:cs="Arial"/>
                <w:b/>
                <w:bCs/>
                <w:sz w:val="18"/>
                <w:szCs w:val="18"/>
                <w:lang w:eastAsia="en-GB"/>
              </w:rPr>
              <w:t>Method: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rPr>
                <w:rFonts w:ascii="Arial" w:hAnsi="Arial" w:cs="Arial"/>
                <w:sz w:val="18"/>
                <w:szCs w:val="18"/>
                <w:lang w:eastAsia="en-GB"/>
              </w:rPr>
            </w:pPr>
            <w:r>
              <w:rPr>
                <w:rFonts w:ascii="Arial" w:hAnsi="Arial" w:cs="Arial"/>
                <w:sz w:val="18"/>
                <w:szCs w:val="18"/>
                <w:lang w:eastAsia="en-GB"/>
              </w:rPr>
              <w:t>TCE/OAM</w:t>
            </w:r>
          </w:p>
          <w:p>
            <w:pPr>
              <w:spacing w:after="0"/>
              <w:rPr>
                <w:rFonts w:ascii="Arial" w:hAnsi="Arial" w:cs="Arial"/>
                <w:sz w:val="18"/>
                <w:szCs w:val="18"/>
                <w:lang w:eastAsia="en-GB"/>
              </w:rPr>
            </w:pPr>
            <w:r>
              <w:rPr>
                <w:rFonts w:ascii="Arial" w:hAnsi="Arial" w:cs="Arial"/>
                <w:sz w:val="18"/>
                <w:szCs w:val="18"/>
                <w:lang w:eastAsia="en-GB"/>
              </w:rPr>
              <w:t>(Data can be utilized by gNB)</w:t>
            </w:r>
          </w:p>
        </w:tc>
        <w:tc>
          <w:tcPr>
            <w:tcW w:w="851" w:type="dxa"/>
          </w:tcPr>
          <w:p>
            <w:pPr>
              <w:spacing w:after="0"/>
              <w:rPr>
                <w:rFonts w:ascii="Arial" w:hAnsi="Arial" w:cs="Arial"/>
                <w:sz w:val="18"/>
                <w:szCs w:val="18"/>
                <w:lang w:eastAsia="en-GB"/>
              </w:rPr>
            </w:pPr>
            <w:r>
              <w:rPr>
                <w:rFonts w:ascii="Arial" w:hAnsi="Arial" w:cs="Arial"/>
                <w:sz w:val="18"/>
                <w:szCs w:val="18"/>
                <w:highlight w:val="none"/>
                <w:lang w:eastAsia="en-GB"/>
              </w:rPr>
              <w:t>CONNECTED</w:t>
            </w:r>
          </w:p>
        </w:tc>
        <w:tc>
          <w:tcPr>
            <w:tcW w:w="1134" w:type="dxa"/>
          </w:tcPr>
          <w:p>
            <w:pPr>
              <w:spacing w:after="0"/>
              <w:rPr>
                <w:rFonts w:ascii="Arial" w:hAnsi="Arial" w:cs="Arial"/>
                <w:sz w:val="18"/>
                <w:szCs w:val="18"/>
                <w:lang w:eastAsia="en-GB"/>
              </w:rPr>
            </w:pPr>
            <w:r>
              <w:rPr>
                <w:rFonts w:ascii="Arial" w:hAnsi="Arial" w:cs="Arial"/>
                <w:sz w:val="18"/>
                <w:szCs w:val="18"/>
                <w:lang w:eastAsia="en-GB"/>
              </w:rPr>
              <w:t>&lt;9kbyte</w:t>
            </w:r>
          </w:p>
        </w:tc>
        <w:tc>
          <w:tcPr>
            <w:tcW w:w="1417" w:type="dxa"/>
          </w:tcPr>
          <w:p>
            <w:pPr>
              <w:spacing w:after="0"/>
              <w:rPr>
                <w:rFonts w:ascii="Arial" w:hAnsi="Arial" w:cs="Arial"/>
                <w:sz w:val="18"/>
                <w:szCs w:val="18"/>
                <w:lang w:eastAsia="en-GB"/>
              </w:rPr>
            </w:pPr>
            <w:r>
              <w:rPr>
                <w:rFonts w:ascii="Arial" w:hAnsi="Arial" w:cs="Arial"/>
                <w:sz w:val="18"/>
                <w:szCs w:val="18"/>
                <w:lang w:eastAsia="en-GB"/>
              </w:rPr>
              <w:t>- L3 cell/beam measurements</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location information</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 sensor information</w:t>
            </w:r>
          </w:p>
        </w:tc>
        <w:tc>
          <w:tcPr>
            <w:tcW w:w="2552" w:type="dxa"/>
          </w:tcPr>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r>
            <w:r>
              <w:rPr>
                <w:rFonts w:ascii="Arial" w:hAnsi="Arial" w:cs="Arial"/>
                <w:sz w:val="18"/>
                <w:szCs w:val="18"/>
                <w:lang w:eastAsia="en-GB"/>
              </w:rPr>
              <w:t>Procedure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 xml:space="preserve">Report interval: </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120ms~30min for periodic report</w:t>
            </w:r>
          </w:p>
          <w:p>
            <w:pPr>
              <w:overflowPunct w:val="0"/>
              <w:autoSpaceDE w:val="0"/>
              <w:autoSpaceDN w:val="0"/>
              <w:adjustRightInd w:val="0"/>
              <w:spacing w:after="0"/>
              <w:ind w:left="720" w:hanging="360"/>
              <w:textAlignment w:val="baseline"/>
              <w:rPr>
                <w:rFonts w:ascii="Arial" w:hAnsi="Arial" w:cs="Arial"/>
                <w:sz w:val="18"/>
                <w:szCs w:val="18"/>
                <w:lang w:eastAsia="en-GB"/>
              </w:rPr>
            </w:pPr>
            <w:r>
              <w:rPr>
                <w:rFonts w:ascii="Symbol" w:hAnsi="Symbol" w:cs="Arial"/>
                <w:sz w:val="18"/>
                <w:szCs w:val="18"/>
                <w:lang w:eastAsia="en-GB"/>
              </w:rPr>
              <w:t></w:t>
            </w:r>
            <w:r>
              <w:rPr>
                <w:rFonts w:ascii="Symbol" w:hAnsi="Symbol" w:cs="Arial"/>
                <w:sz w:val="18"/>
                <w:szCs w:val="18"/>
                <w:lang w:eastAsia="en-GB"/>
              </w:rPr>
              <w:tab/>
            </w:r>
            <w:r>
              <w:rPr>
                <w:rFonts w:ascii="Arial" w:hAnsi="Arial" w:cs="Arial"/>
                <w:sz w:val="18"/>
                <w:szCs w:val="18"/>
                <w:lang w:eastAsia="en-GB"/>
              </w:rPr>
              <w:t>TTT for event triggered report</w:t>
            </w:r>
          </w:p>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r>
            <w:r>
              <w:rPr>
                <w:rFonts w:ascii="Arial" w:hAnsi="Arial" w:cs="Arial"/>
                <w:sz w:val="18"/>
                <w:szCs w:val="18"/>
                <w:lang w:eastAsia="en-GB"/>
              </w:rPr>
              <w:t>Air interface signalling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~20ms (RRC)</w:t>
            </w:r>
          </w:p>
          <w:p>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lang w:eastAsia="en-GB"/>
              </w:rPr>
              <w:tab/>
            </w:r>
            <w:r>
              <w:rPr>
                <w:rFonts w:ascii="Arial" w:hAnsi="Arial" w:cs="Arial"/>
                <w:sz w:val="18"/>
                <w:szCs w:val="18"/>
                <w:lang w:eastAsia="en-GB"/>
              </w:rPr>
              <w:t>Other latency:</w:t>
            </w:r>
          </w:p>
          <w:p>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sz w:val="18"/>
                <w:szCs w:val="18"/>
                <w:lang w:eastAsia="en-GB"/>
              </w:rPr>
              <w:t>-</w:t>
            </w:r>
            <w:r>
              <w:rPr>
                <w:sz w:val="18"/>
                <w:szCs w:val="18"/>
                <w:lang w:eastAsia="en-GB"/>
              </w:rPr>
              <w:tab/>
            </w:r>
            <w:r>
              <w:rPr>
                <w:rFonts w:ascii="Arial" w:hAnsi="Arial" w:cs="Arial"/>
                <w:sz w:val="18"/>
                <w:szCs w:val="18"/>
                <w:lang w:eastAsia="en-GB"/>
              </w:rPr>
              <w:t xml:space="preserve">Forwarding latency between gNB and TCE   </w:t>
            </w:r>
          </w:p>
        </w:tc>
        <w:tc>
          <w:tcPr>
            <w:tcW w:w="1417" w:type="dxa"/>
          </w:tcPr>
          <w:p>
            <w:pPr>
              <w:spacing w:after="0"/>
              <w:rPr>
                <w:rFonts w:ascii="Arial" w:hAnsi="Arial" w:cs="Arial"/>
                <w:sz w:val="18"/>
                <w:szCs w:val="18"/>
                <w:lang w:eastAsia="en-GB"/>
              </w:rPr>
            </w:pPr>
            <w:r>
              <w:rPr>
                <w:rFonts w:ascii="Arial" w:hAnsi="Arial" w:cs="Arial"/>
                <w:sz w:val="18"/>
                <w:szCs w:val="18"/>
                <w:lang w:eastAsia="en-GB"/>
              </w:rPr>
              <w:t>- Event triggered</w:t>
            </w:r>
          </w:p>
          <w:p>
            <w:pPr>
              <w:spacing w:after="0"/>
              <w:rPr>
                <w:rFonts w:ascii="Arial" w:hAnsi="Arial" w:cs="Arial"/>
                <w:sz w:val="18"/>
                <w:szCs w:val="18"/>
                <w:lang w:eastAsia="en-GB"/>
              </w:rPr>
            </w:pPr>
            <w:r>
              <w:rPr>
                <w:rFonts w:ascii="Arial" w:hAnsi="Arial" w:cs="Arial"/>
                <w:sz w:val="18"/>
                <w:szCs w:val="18"/>
                <w:lang w:eastAsia="en-GB"/>
              </w:rPr>
              <w:br w:type="textWrapping"/>
            </w:r>
            <w:r>
              <w:rPr>
                <w:rFonts w:ascii="Arial" w:hAnsi="Arial" w:cs="Arial"/>
                <w:sz w:val="18"/>
                <w:szCs w:val="18"/>
                <w:lang w:eastAsia="en-GB"/>
              </w:rPr>
              <w:t xml:space="preserve">- Periodic reporting </w:t>
            </w:r>
          </w:p>
        </w:tc>
        <w:tc>
          <w:tcPr>
            <w:tcW w:w="1134" w:type="dxa"/>
          </w:tcPr>
          <w:p>
            <w:pPr>
              <w:spacing w:after="0"/>
              <w:rPr>
                <w:rFonts w:ascii="Arial" w:hAnsi="Arial" w:cs="Arial"/>
                <w:sz w:val="18"/>
                <w:szCs w:val="18"/>
                <w:lang w:eastAsia="en-GB"/>
              </w:rPr>
            </w:pPr>
            <w:r>
              <w:rPr>
                <w:rFonts w:ascii="Arial" w:hAnsi="Arial" w:cs="Arial"/>
                <w:sz w:val="18"/>
                <w:szCs w:val="18"/>
                <w:lang w:eastAsia="en-GB"/>
              </w:rPr>
              <w:t>AS security via RRC message</w:t>
            </w:r>
            <w:r>
              <w:rPr>
                <w:rFonts w:ascii="Arial" w:hAnsi="Arial" w:cs="Arial"/>
                <w:sz w:val="18"/>
                <w:szCs w:val="18"/>
                <w:lang w:eastAsia="en-GB"/>
              </w:rPr>
              <w:br w:type="textWrapping"/>
            </w:r>
          </w:p>
          <w:p>
            <w:pPr>
              <w:spacing w:after="0"/>
              <w:rPr>
                <w:rFonts w:ascii="Arial" w:hAnsi="Arial" w:cs="Arial"/>
                <w:sz w:val="18"/>
                <w:szCs w:val="18"/>
                <w:lang w:eastAsia="en-GB"/>
              </w:rPr>
            </w:pPr>
            <w:r>
              <w:rPr>
                <w:rFonts w:ascii="Arial" w:hAnsi="Arial" w:cs="Arial"/>
                <w:sz w:val="18"/>
                <w:szCs w:val="18"/>
                <w:lang w:eastAsia="en-GB"/>
              </w:rPr>
              <w:t>Privacy via user consent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7"/>
          </w:tcPr>
          <w:p>
            <w:pPr>
              <w:spacing w:after="0"/>
              <w:jc w:val="center"/>
              <w:rPr>
                <w:rFonts w:ascii="Arial" w:hAnsi="Arial" w:cs="Arial"/>
                <w:sz w:val="18"/>
                <w:szCs w:val="18"/>
                <w:lang w:eastAsia="en-GB"/>
              </w:rPr>
            </w:pPr>
            <w:r>
              <w:rPr>
                <w:rFonts w:hint="eastAsia" w:ascii="Arial" w:hAnsi="Arial" w:cs="Arial"/>
                <w:b/>
                <w:bCs/>
                <w:i/>
                <w:iCs/>
                <w:sz w:val="18"/>
                <w:szCs w:val="18"/>
                <w:lang w:val="en-US" w:eastAsia="zh-CN"/>
              </w:rPr>
              <w:t>Other methods are omitted</w:t>
            </w:r>
          </w:p>
        </w:tc>
      </w:tr>
    </w:tbl>
    <w:p>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object>
          <v:shape id="_x0000_i1025" o:spt="75" type="#_x0000_t75" style="height:162.55pt;width:195.8pt;" o:ole="t" filled="f" o:preferrelative="t" stroked="f" coordsize="21600,21600">
            <v:path/>
            <v:fill on="f" focussize="0,0"/>
            <v:stroke on="f"/>
            <v:imagedata r:id="rId5" croptop="2938f" cropright="20201f" cropbottom="3815f" o:title=""/>
            <o:lock v:ext="edit" aspectratio="t"/>
            <w10:wrap type="none"/>
            <w10:anchorlock/>
          </v:shape>
          <o:OLEObject Type="Embed" ProgID="Visio.Drawing.15" ShapeID="_x0000_i1025" DrawAspect="Content" ObjectID="_1468075725" r:id="rId4">
            <o:LockedField>false</o:LockedField>
          </o:OLEObject>
        </w:object>
      </w:r>
      <w:r>
        <w:rPr>
          <w:rFonts w:hint="eastAsia"/>
          <w:lang w:val="en-US" w:eastAsia="zh-CN"/>
        </w:rPr>
        <w:t xml:space="preserve">  </w:t>
      </w:r>
      <w:r>
        <w:object>
          <v:shape id="_x0000_i1026" o:spt="75" type="#_x0000_t75" style="height:162pt;width:262.2pt;" o:ole="t" filled="f" o:preferrelative="t" stroked="f" coordsize="21600,21600">
            <v:path/>
            <v:fill on="f" focussize="0,0"/>
            <v:stroke on="f"/>
            <v:imagedata r:id="rId7" croptop="2938f" cropright="4827f" cropbottom="4014f" o:title=""/>
            <o:lock v:ext="edit" aspectratio="t"/>
            <w10:wrap type="none"/>
            <w10:anchorlock/>
          </v:shape>
          <o:OLEObject Type="Embed" ProgID="Visio.Drawing.15" ShapeID="_x0000_i1026" DrawAspect="Content" ObjectID="_1468075726" r:id="rId6">
            <o:LockedField>false</o:LockedField>
          </o:OLEObject>
        </w:object>
      </w:r>
    </w:p>
    <w:p>
      <w:pPr>
        <w:numPr>
          <w:ilvl w:val="0"/>
          <w:numId w:val="7"/>
        </w:numPr>
        <w:spacing w:before="120" w:beforeLines="50" w:after="120" w:line="260" w:lineRule="exact"/>
        <w:ind w:firstLine="1205" w:firstLineChars="600"/>
        <w:jc w:val="both"/>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Logged MDT                                    b) Immediate MDT</w:t>
      </w:r>
    </w:p>
    <w:p>
      <w:pPr>
        <w:numPr>
          <w:ilvl w:val="0"/>
          <w:numId w:val="0"/>
        </w:numPr>
        <w:spacing w:before="120" w:beforeLines="50" w:after="120" w:line="260" w:lineRule="exact"/>
        <w:jc w:val="center"/>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Figure 1. Basic procedure for legacy MDT</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Considering RAN2 aims to apply the same measurement framework for both gNB-centric and OAM-centric approaches, and the UE should be RRC_CONNECTED state for AI/ML based beam management, it is straightforward to use immediate MDT as baseline. In this way, the enhancements on L3 measurement for gNB-centric solution can be reused for OAM-centric solution.</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3: RAN2 uses the immediate MDT as baseline for further enhancement, considering the enhancements on L3 measurement for gNB-centric solution can be reused.</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phase, RAN2 agreed to support data logging for NW-side data collection. However, data logging is not supported in legacy immediate MDT procedure. Therefore, immediate MDT should be enhanced to support data logging.</w:t>
      </w:r>
    </w:p>
    <w:p>
      <w:pPr>
        <w:numPr>
          <w:ilvl w:val="0"/>
          <w:numId w:val="0"/>
        </w:numPr>
        <w:spacing w:before="120" w:beforeLines="50" w:after="120" w:line="240" w:lineRule="auto"/>
        <w:jc w:val="center"/>
      </w:pPr>
      <w:r>
        <w:object>
          <v:shape id="_x0000_i1027" o:spt="75" type="#_x0000_t75" style="height:148.55pt;width:277.8pt;" o:ole="t" filled="f" o:preferrelative="t" stroked="f" coordsize="21600,21600">
            <v:path/>
            <v:fill on="f" focussize="0,0"/>
            <v:stroke on="f"/>
            <v:imagedata r:id="rId9" croptop="4855f" cropright="4827f" cropbottom="9981f" o:title=""/>
            <o:lock v:ext="edit" aspectratio="t"/>
            <w10:wrap type="none"/>
            <w10:anchorlock/>
          </v:shape>
          <o:OLEObject Type="Embed" ProgID="Visio.Drawing.15" ShapeID="_x0000_i1027" DrawAspect="Content" ObjectID="_1468075727" r:id="rId8">
            <o:LockedField>false</o:LockedField>
          </o:OLEObject>
        </w:object>
      </w:r>
    </w:p>
    <w:p>
      <w:pPr>
        <w:numPr>
          <w:ilvl w:val="0"/>
          <w:numId w:val="0"/>
        </w:numPr>
        <w:spacing w:before="120" w:beforeLines="50" w:after="120" w:line="240" w:lineRule="auto"/>
        <w:jc w:val="center"/>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Figure 2. Basic procedure for enhanced immediate MDT</w:t>
      </w:r>
    </w:p>
    <w:p>
      <w:pPr>
        <w:numPr>
          <w:ilvl w:val="0"/>
          <w:numId w:val="0"/>
        </w:numPr>
        <w:spacing w:before="120" w:beforeLines="50" w:after="120" w:line="240" w:lineRule="auto"/>
        <w:jc w:val="both"/>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4: Immediate MDT is enhanced to support data logging for NW-side data collection.</w:t>
      </w:r>
    </w:p>
    <w:p>
      <w:pPr>
        <w:numPr>
          <w:ilvl w:val="0"/>
          <w:numId w:val="0"/>
        </w:numPr>
        <w:spacing w:before="120" w:beforeLines="50" w:after="120" w:line="240" w:lineRule="auto"/>
        <w:jc w:val="both"/>
        <w:rPr>
          <w:rFonts w:hint="default" w:ascii="Arial" w:hAnsi="Arial" w:eastAsia="宋体" w:cs="Arial"/>
          <w:b w:val="0"/>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Positioning with gNB-sided model (case 3a)</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gNB-sided model training can reside at gNB or OAM. Therefore, the gNB-centric and OAM-centric solutions for beam management with gNB-sided model can be also applied for positioning with gNB-sided model training.</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5: The gNB-centric and OAM-centric solutions for beam management with gNB-sided model training can be also applied for positioning with gNB-sided model training.</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Positioning with LMF-sided model (case 3b)</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LMF-sided model training resides at LMF and the LMF is the termination point for training data. Therefore the LMF-centric data collection should be considered, i.e. LMF configures the UE to initiate/terminate the data collection procedure.</w:t>
      </w:r>
    </w:p>
    <w:p>
      <w:p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LMF-sided model training</w:t>
      </w:r>
      <w:r>
        <w:rPr>
          <w:rFonts w:hint="eastAsia" w:ascii="Arial" w:hAnsi="Arial" w:cs="Arial"/>
          <w:bCs/>
          <w:sz w:val="20"/>
          <w:szCs w:val="20"/>
        </w:rPr>
        <w:t xml:space="preserve">, </w:t>
      </w:r>
      <w:r>
        <w:rPr>
          <w:rFonts w:hint="eastAsia" w:ascii="Arial" w:hAnsi="Arial" w:cs="Arial"/>
          <w:bCs/>
          <w:sz w:val="20"/>
          <w:szCs w:val="20"/>
          <w:lang w:val="en-US" w:eastAsia="zh-CN"/>
        </w:rPr>
        <w:t xml:space="preserve">at least </w:t>
      </w:r>
      <w:r>
        <w:rPr>
          <w:rFonts w:hint="eastAsia" w:ascii="Arial" w:hAnsi="Arial" w:eastAsia="宋体" w:cs="Arial"/>
          <w:b w:val="0"/>
          <w:bCs w:val="0"/>
          <w:sz w:val="20"/>
          <w:szCs w:val="20"/>
          <w:lang w:val="en-US" w:eastAsia="zh-CN"/>
        </w:rPr>
        <w:t xml:space="preserve">measurements (corresponding to model input, e.g. timing, power, and/or phase info) and location coordinates as model output are needed based on RAN1 reply LS [3]. During the R19 discussion, </w:t>
      </w:r>
      <w:r>
        <w:rPr>
          <w:rFonts w:hint="eastAsia" w:ascii="Arial" w:hAnsi="Arial" w:cs="Arial"/>
          <w:bCs/>
          <w:sz w:val="20"/>
          <w:szCs w:val="20"/>
          <w:lang w:val="en-US" w:eastAsia="zh-CN"/>
        </w:rPr>
        <w:t xml:space="preserve">RAN1 has achieved the following agreements on the collected data for LMF-sided model.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eastAsia="等线" w:cs="Arial"/>
                <w:b w:val="0"/>
                <w:bCs w:val="0"/>
                <w:sz w:val="20"/>
                <w:szCs w:val="21"/>
                <w:highlight w:val="green"/>
                <w:lang w:eastAsia="zh-CN"/>
              </w:rPr>
            </w:pPr>
            <w:r>
              <w:rPr>
                <w:rFonts w:hint="default"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pPr>
              <w:numPr>
                <w:ilvl w:val="0"/>
                <w:numId w:val="8"/>
              </w:numPr>
              <w:rPr>
                <w:rFonts w:hint="default" w:ascii="Arial" w:hAnsi="Arial" w:cs="Arial"/>
                <w:sz w:val="20"/>
                <w:szCs w:val="21"/>
              </w:rPr>
            </w:pPr>
            <w:r>
              <w:rPr>
                <w:rFonts w:hint="default" w:ascii="Arial" w:hAnsi="Arial" w:cs="Arial"/>
                <w:sz w:val="20"/>
                <w:szCs w:val="21"/>
              </w:rPr>
              <w:t xml:space="preserve">For AI/ML based positioning case 3b, at least the following types of time domain channel measurements are supported for reporting: </w:t>
            </w:r>
          </w:p>
          <w:p>
            <w:pPr>
              <w:pStyle w:val="24"/>
              <w:widowControl w:val="0"/>
              <w:numPr>
                <w:ilvl w:val="0"/>
                <w:numId w:val="9"/>
              </w:numPr>
              <w:ind w:left="851" w:leftChars="0" w:hanging="425"/>
              <w:jc w:val="both"/>
              <w:rPr>
                <w:rFonts w:hint="default" w:ascii="Arial" w:hAnsi="Arial" w:cs="Arial"/>
                <w:sz w:val="20"/>
                <w:szCs w:val="21"/>
                <w:lang w:val="en-US"/>
              </w:rPr>
            </w:pPr>
            <w:r>
              <w:rPr>
                <w:rFonts w:hint="default" w:ascii="Arial" w:hAnsi="Arial" w:cs="Arial"/>
                <w:sz w:val="20"/>
                <w:szCs w:val="21"/>
                <w:lang w:val="en-US"/>
              </w:rPr>
              <w:t>timing information;</w:t>
            </w:r>
          </w:p>
          <w:p>
            <w:pPr>
              <w:pStyle w:val="24"/>
              <w:widowControl w:val="0"/>
              <w:numPr>
                <w:ilvl w:val="0"/>
                <w:numId w:val="9"/>
              </w:numPr>
              <w:ind w:left="851" w:leftChars="0" w:hanging="425"/>
              <w:jc w:val="both"/>
              <w:rPr>
                <w:rFonts w:hint="default" w:ascii="Arial" w:hAnsi="Arial" w:cs="Arial"/>
                <w:sz w:val="20"/>
                <w:szCs w:val="21"/>
                <w:lang w:val="en-US"/>
              </w:rPr>
            </w:pPr>
            <w:r>
              <w:rPr>
                <w:rFonts w:hint="default" w:ascii="Arial" w:hAnsi="Arial" w:cs="Arial"/>
                <w:sz w:val="20"/>
                <w:szCs w:val="21"/>
                <w:lang w:val="en-US"/>
              </w:rPr>
              <w:t>paired timing information and power information.</w:t>
            </w:r>
          </w:p>
          <w:p>
            <w:pPr>
              <w:rPr>
                <w:rFonts w:hint="default" w:ascii="Arial" w:hAnsi="Arial" w:cs="Arial"/>
                <w:sz w:val="20"/>
                <w:szCs w:val="21"/>
              </w:rPr>
            </w:pPr>
          </w:p>
          <w:p>
            <w:pPr>
              <w:rPr>
                <w:rFonts w:hint="default" w:ascii="Arial" w:hAnsi="Arial" w:cs="Arial"/>
                <w:sz w:val="20"/>
                <w:szCs w:val="21"/>
              </w:rPr>
            </w:pPr>
            <w:r>
              <w:rPr>
                <w:rFonts w:hint="default" w:ascii="Arial" w:hAnsi="Arial" w:cs="Arial"/>
                <w:sz w:val="20"/>
                <w:szCs w:val="21"/>
              </w:rPr>
              <w:t xml:space="preserve">For AI/ML based positioning Case 3b, for gNB channel measurements reported to LMF, the timing information is represented relative to a reference time. </w:t>
            </w:r>
          </w:p>
          <w:p>
            <w:pPr>
              <w:pStyle w:val="24"/>
              <w:widowControl w:val="0"/>
              <w:numPr>
                <w:ilvl w:val="0"/>
                <w:numId w:val="10"/>
              </w:numPr>
              <w:ind w:leftChars="0"/>
              <w:jc w:val="both"/>
              <w:rPr>
                <w:rFonts w:hint="default" w:ascii="Arial" w:hAnsi="Arial" w:cs="Arial"/>
                <w:sz w:val="20"/>
                <w:szCs w:val="21"/>
                <w:lang w:val="en-US"/>
              </w:rPr>
            </w:pPr>
            <w:r>
              <w:rPr>
                <w:rFonts w:hint="default" w:ascii="Arial" w:hAnsi="Arial" w:cs="Arial"/>
                <w:sz w:val="20"/>
                <w:szCs w:val="21"/>
                <w:lang w:val="en-US"/>
              </w:rPr>
              <w:t>FFS: Whether any specification impact of the reference time used to represent the timing information. Details of the reference time</w:t>
            </w:r>
          </w:p>
          <w:p>
            <w:pPr>
              <w:pStyle w:val="24"/>
              <w:widowControl w:val="0"/>
              <w:numPr>
                <w:ilvl w:val="0"/>
                <w:numId w:val="0"/>
              </w:numPr>
              <w:ind w:leftChars="200"/>
              <w:jc w:val="both"/>
              <w:rPr>
                <w:rFonts w:hint="default" w:ascii="Arial" w:hAnsi="Arial" w:cs="Arial"/>
                <w:sz w:val="20"/>
                <w:szCs w:val="21"/>
                <w:lang w:val="en-US"/>
              </w:rPr>
            </w:pPr>
          </w:p>
          <w:p>
            <w:pPr>
              <w:rPr>
                <w:rFonts w:hint="default" w:ascii="Arial" w:hAnsi="Arial" w:eastAsia="等线" w:cs="Arial"/>
                <w:sz w:val="20"/>
                <w:szCs w:val="20"/>
                <w:highlight w:val="darkYellow"/>
                <w:lang w:eastAsia="zh-CN"/>
              </w:rPr>
            </w:pPr>
            <w:r>
              <w:rPr>
                <w:rFonts w:hint="default" w:ascii="Arial" w:hAnsi="Arial" w:eastAsia="等线" w:cs="Arial"/>
                <w:sz w:val="20"/>
                <w:szCs w:val="20"/>
                <w:highlight w:val="darkYellow"/>
                <w:lang w:val="en-US" w:eastAsia="zh-CN"/>
              </w:rPr>
              <w:t xml:space="preserve">RAN1#116bis </w:t>
            </w:r>
            <w:r>
              <w:rPr>
                <w:rFonts w:hint="default" w:ascii="Arial" w:hAnsi="Arial" w:eastAsia="等线" w:cs="Arial"/>
                <w:sz w:val="20"/>
                <w:szCs w:val="20"/>
                <w:highlight w:val="darkYellow"/>
                <w:lang w:eastAsia="zh-CN"/>
              </w:rPr>
              <w:t>Working Assumption</w:t>
            </w:r>
          </w:p>
          <w:p>
            <w:pPr>
              <w:rPr>
                <w:rFonts w:hint="default" w:ascii="Arial" w:hAnsi="Arial" w:cs="Arial"/>
                <w:sz w:val="20"/>
                <w:szCs w:val="20"/>
              </w:rPr>
            </w:pPr>
            <w:r>
              <w:rPr>
                <w:rFonts w:hint="default" w:ascii="Arial" w:hAnsi="Arial" w:cs="Arial"/>
                <w:sz w:val="20"/>
                <w:szCs w:val="20"/>
              </w:rPr>
              <w:t>For training data generation of AI/ML based positioning Case 3b, the label and its related data (e.g., time stamp) can be generated by:</w:t>
            </w:r>
          </w:p>
          <w:p>
            <w:pPr>
              <w:pStyle w:val="24"/>
              <w:widowControl w:val="0"/>
              <w:numPr>
                <w:ilvl w:val="0"/>
                <w:numId w:val="11"/>
              </w:numPr>
              <w:ind w:leftChars="0"/>
              <w:jc w:val="both"/>
              <w:rPr>
                <w:rFonts w:hint="default" w:ascii="Arial" w:hAnsi="Arial" w:cs="Arial"/>
                <w:sz w:val="20"/>
                <w:szCs w:val="20"/>
              </w:rPr>
            </w:pPr>
            <w:r>
              <w:rPr>
                <w:rFonts w:hint="default" w:ascii="Arial" w:hAnsi="Arial" w:cs="Arial"/>
                <w:sz w:val="20"/>
                <w:szCs w:val="20"/>
                <w:lang w:val="en-US"/>
              </w:rPr>
              <w:t>PRU</w:t>
            </w:r>
          </w:p>
          <w:p>
            <w:pPr>
              <w:pStyle w:val="24"/>
              <w:widowControl w:val="0"/>
              <w:numPr>
                <w:ilvl w:val="0"/>
                <w:numId w:val="11"/>
              </w:numPr>
              <w:ind w:leftChars="0"/>
              <w:jc w:val="both"/>
              <w:rPr>
                <w:rFonts w:hint="default" w:ascii="Arial" w:hAnsi="Arial" w:cs="Arial"/>
                <w:sz w:val="20"/>
                <w:szCs w:val="20"/>
                <w:lang w:val="en-US"/>
              </w:rPr>
            </w:pPr>
            <w:r>
              <w:rPr>
                <w:rFonts w:hint="default" w:ascii="Arial" w:hAnsi="Arial" w:eastAsia="等线" w:cs="Arial"/>
                <w:sz w:val="20"/>
                <w:szCs w:val="20"/>
                <w:lang w:val="en-US" w:eastAsia="zh-CN"/>
              </w:rPr>
              <w:t xml:space="preserve">FFS: </w:t>
            </w:r>
            <w:r>
              <w:rPr>
                <w:rFonts w:hint="default" w:ascii="Arial" w:hAnsi="Arial" w:cs="Arial"/>
                <w:sz w:val="20"/>
                <w:szCs w:val="20"/>
                <w:lang w:val="en-US"/>
              </w:rPr>
              <w:t>Non-PRU UE with estimated location</w:t>
            </w:r>
          </w:p>
          <w:p>
            <w:pPr>
              <w:pStyle w:val="24"/>
              <w:widowControl w:val="0"/>
              <w:numPr>
                <w:ilvl w:val="0"/>
                <w:numId w:val="11"/>
              </w:numPr>
              <w:ind w:leftChars="0"/>
              <w:jc w:val="both"/>
              <w:rPr>
                <w:rFonts w:hint="default" w:ascii="Arial" w:hAnsi="Arial" w:cs="Arial"/>
                <w:sz w:val="20"/>
                <w:szCs w:val="20"/>
              </w:rPr>
            </w:pPr>
            <w:r>
              <w:rPr>
                <w:rFonts w:hint="default" w:ascii="Arial" w:hAnsi="Arial" w:cs="Arial"/>
                <w:sz w:val="20"/>
                <w:szCs w:val="20"/>
                <w:lang w:val="en-US"/>
              </w:rPr>
              <w:t>LMF</w:t>
            </w:r>
          </w:p>
          <w:p>
            <w:pPr>
              <w:rPr>
                <w:rFonts w:hint="eastAsia" w:ascii="Arial" w:hAnsi="Arial" w:cs="Arial"/>
                <w:bCs/>
                <w:sz w:val="20"/>
                <w:szCs w:val="20"/>
                <w:vertAlign w:val="baseline"/>
                <w:lang w:val="en-US" w:eastAsia="zh-CN"/>
              </w:rPr>
            </w:pPr>
            <w:r>
              <w:rPr>
                <w:rFonts w:hint="default" w:ascii="Arial" w:hAnsi="Arial" w:cs="Arial"/>
                <w:sz w:val="20"/>
                <w:szCs w:val="20"/>
              </w:rPr>
              <w:t>Note: transfer of label and its related data is out of RAN1 scope.</w:t>
            </w:r>
          </w:p>
        </w:tc>
      </w:tr>
    </w:tbl>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general, the training data can also be generated by the gNB or UE and terminated at LMF. Hence, the NRPPa and LPP protocol can be used to collect data for LMF-sided model training. However, the details of training data are still under RAN1 discussion. However, the details of training data are still under RAN1 discussion. Thus, RAN2 can revisit whether/how LPP protocol is enhanced based on RAN1 progress, and RAN3 work may be triggered by LS if the enhancements on NRPPa are identified.</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6: For positioning with LMF-side model, the LPP and NRPPa protocol are used to collect data for LMF-sided model training. The details will be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input.</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For gNB-centric solution, L3 measurement (i.e. RRC signaling) is used for collecting the data for NW-sided model training.</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2: RAN2 considers to enhance the L3 measurement to include L1 beam results for data collection for NW-sided model training.</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3: RAN2 uses the immediate MDT as baseline for further enhancement, considering the enhancements on L3 measurement for gNB-centric solution can be reused.</w:t>
      </w:r>
    </w:p>
    <w:p>
      <w:pPr>
        <w:numPr>
          <w:ilvl w:val="0"/>
          <w:numId w:val="0"/>
        </w:numPr>
        <w:spacing w:before="120" w:beforeLines="50" w:after="120" w:line="240" w:lineRule="auto"/>
        <w:jc w:val="both"/>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4: Immediate MDT is enhanced to support data logging for NW-side data collection.</w:t>
      </w:r>
    </w:p>
    <w:p>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5: The gNB-centric and OAM-centric solutions for beam management with gNB-sided model training can be also applied for positioning with gNB-sided model training.</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6: For positioning with LMF-side model, the LPP and NRPPa protocol are used to collect data for LMF-sided model training. The details will be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input.</w:t>
      </w:r>
    </w:p>
    <w:p>
      <w:pPr>
        <w:spacing w:before="120" w:beforeLines="50" w:after="120" w:line="260" w:lineRule="exact"/>
        <w:rPr>
          <w:rFonts w:hint="eastAsia" w:ascii="Arial" w:hAnsi="Arial" w:eastAsia="宋体" w:cs="Arial"/>
          <w:b/>
          <w:b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Draft_R2_125bis_Meeting_Report_v2</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0CDC6"/>
    <w:multiLevelType w:val="singleLevel"/>
    <w:tmpl w:val="8B30CDC6"/>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FE22203"/>
    <w:multiLevelType w:val="multilevel"/>
    <w:tmpl w:val="2FE2220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FEB0EFD"/>
    <w:multiLevelType w:val="multilevel"/>
    <w:tmpl w:val="2FE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59BA7054"/>
    <w:multiLevelType w:val="multilevel"/>
    <w:tmpl w:val="59BA705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1"/>
  </w:num>
  <w:num w:numId="3">
    <w:abstractNumId w:val="11"/>
  </w:num>
  <w:num w:numId="4">
    <w:abstractNumId w:val="10"/>
  </w:num>
  <w:num w:numId="5">
    <w:abstractNumId w:val="8"/>
  </w:num>
  <w:num w:numId="6">
    <w:abstractNumId w:val="3"/>
  </w:num>
  <w:num w:numId="7">
    <w:abstractNumId w:val="0"/>
  </w:num>
  <w:num w:numId="8">
    <w:abstractNumId w:val="9"/>
  </w:num>
  <w:num w:numId="9">
    <w:abstractNumId w:val="4"/>
  </w:num>
  <w:num w:numId="10">
    <w:abstractNumId w:val="5"/>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1A4F78"/>
    <w:rsid w:val="01474FCB"/>
    <w:rsid w:val="016C5974"/>
    <w:rsid w:val="016E658B"/>
    <w:rsid w:val="01840FB9"/>
    <w:rsid w:val="019A524E"/>
    <w:rsid w:val="01A0498E"/>
    <w:rsid w:val="01A574CF"/>
    <w:rsid w:val="01A60C1B"/>
    <w:rsid w:val="01E966BF"/>
    <w:rsid w:val="02395107"/>
    <w:rsid w:val="029B08C6"/>
    <w:rsid w:val="02A424C3"/>
    <w:rsid w:val="02B71025"/>
    <w:rsid w:val="02FA6D08"/>
    <w:rsid w:val="0300491B"/>
    <w:rsid w:val="030E32B0"/>
    <w:rsid w:val="03190295"/>
    <w:rsid w:val="034F533A"/>
    <w:rsid w:val="03877AE8"/>
    <w:rsid w:val="038A1F16"/>
    <w:rsid w:val="041A101A"/>
    <w:rsid w:val="041D6583"/>
    <w:rsid w:val="04525A53"/>
    <w:rsid w:val="04861CA0"/>
    <w:rsid w:val="04A12BB9"/>
    <w:rsid w:val="04A37BF0"/>
    <w:rsid w:val="04F25DBA"/>
    <w:rsid w:val="04F46CEE"/>
    <w:rsid w:val="04FD5053"/>
    <w:rsid w:val="054134AD"/>
    <w:rsid w:val="056C27CB"/>
    <w:rsid w:val="0571089C"/>
    <w:rsid w:val="058844D8"/>
    <w:rsid w:val="059A3C03"/>
    <w:rsid w:val="05AD7C3D"/>
    <w:rsid w:val="05B81468"/>
    <w:rsid w:val="05B92B80"/>
    <w:rsid w:val="05CC288F"/>
    <w:rsid w:val="05FB3716"/>
    <w:rsid w:val="061355E6"/>
    <w:rsid w:val="063A49AE"/>
    <w:rsid w:val="064F5C41"/>
    <w:rsid w:val="069766D8"/>
    <w:rsid w:val="06EA3869"/>
    <w:rsid w:val="06EB297F"/>
    <w:rsid w:val="06F44776"/>
    <w:rsid w:val="071830B3"/>
    <w:rsid w:val="07232B13"/>
    <w:rsid w:val="072E12A5"/>
    <w:rsid w:val="072E4FA9"/>
    <w:rsid w:val="07554650"/>
    <w:rsid w:val="075F5104"/>
    <w:rsid w:val="079F7BD5"/>
    <w:rsid w:val="07BA03C9"/>
    <w:rsid w:val="07CC0B7F"/>
    <w:rsid w:val="080B0E60"/>
    <w:rsid w:val="08241B14"/>
    <w:rsid w:val="08346E32"/>
    <w:rsid w:val="083D4534"/>
    <w:rsid w:val="084F3982"/>
    <w:rsid w:val="0870581B"/>
    <w:rsid w:val="08BD2F14"/>
    <w:rsid w:val="08D80E0C"/>
    <w:rsid w:val="08FE04F3"/>
    <w:rsid w:val="09085B92"/>
    <w:rsid w:val="093223D0"/>
    <w:rsid w:val="09414F75"/>
    <w:rsid w:val="094470AB"/>
    <w:rsid w:val="095A6DFD"/>
    <w:rsid w:val="09926330"/>
    <w:rsid w:val="09A24612"/>
    <w:rsid w:val="09AD7F7C"/>
    <w:rsid w:val="09B92009"/>
    <w:rsid w:val="09BB3ACA"/>
    <w:rsid w:val="09C411E9"/>
    <w:rsid w:val="09D63199"/>
    <w:rsid w:val="09F124DC"/>
    <w:rsid w:val="09F8719E"/>
    <w:rsid w:val="0A0C359D"/>
    <w:rsid w:val="0A103B20"/>
    <w:rsid w:val="0A1469F1"/>
    <w:rsid w:val="0A173D8A"/>
    <w:rsid w:val="0A382873"/>
    <w:rsid w:val="0A78659D"/>
    <w:rsid w:val="0A7B4003"/>
    <w:rsid w:val="0AA35EAE"/>
    <w:rsid w:val="0AAC7074"/>
    <w:rsid w:val="0AB622D1"/>
    <w:rsid w:val="0ADE2342"/>
    <w:rsid w:val="0AE21792"/>
    <w:rsid w:val="0AF33383"/>
    <w:rsid w:val="0AF55015"/>
    <w:rsid w:val="0AFD0EBC"/>
    <w:rsid w:val="0B054A96"/>
    <w:rsid w:val="0B11078A"/>
    <w:rsid w:val="0B7E67EB"/>
    <w:rsid w:val="0B944661"/>
    <w:rsid w:val="0B96175E"/>
    <w:rsid w:val="0BB81E48"/>
    <w:rsid w:val="0BBD7E79"/>
    <w:rsid w:val="0BE427FA"/>
    <w:rsid w:val="0BF550E1"/>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E11C21"/>
    <w:rsid w:val="0DE14E46"/>
    <w:rsid w:val="0E3D4FDF"/>
    <w:rsid w:val="0E4A09D7"/>
    <w:rsid w:val="0E56201A"/>
    <w:rsid w:val="0E6E3C34"/>
    <w:rsid w:val="0EAF327B"/>
    <w:rsid w:val="0EE52C9E"/>
    <w:rsid w:val="0F1D748A"/>
    <w:rsid w:val="0F4E079B"/>
    <w:rsid w:val="0F732504"/>
    <w:rsid w:val="0F782620"/>
    <w:rsid w:val="0F8A7784"/>
    <w:rsid w:val="0F8C51E0"/>
    <w:rsid w:val="0FC803F4"/>
    <w:rsid w:val="10090A65"/>
    <w:rsid w:val="1081433D"/>
    <w:rsid w:val="108B22CD"/>
    <w:rsid w:val="10AC6F3F"/>
    <w:rsid w:val="10C31C47"/>
    <w:rsid w:val="10C64AE7"/>
    <w:rsid w:val="10F04644"/>
    <w:rsid w:val="110171B2"/>
    <w:rsid w:val="11171B9A"/>
    <w:rsid w:val="111F30A5"/>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30A48C3"/>
    <w:rsid w:val="132303DD"/>
    <w:rsid w:val="1331496D"/>
    <w:rsid w:val="13392934"/>
    <w:rsid w:val="135167B1"/>
    <w:rsid w:val="13583AE1"/>
    <w:rsid w:val="1358580E"/>
    <w:rsid w:val="135A6265"/>
    <w:rsid w:val="136A73BB"/>
    <w:rsid w:val="139327D8"/>
    <w:rsid w:val="13A46671"/>
    <w:rsid w:val="13D36FA4"/>
    <w:rsid w:val="13FA68E0"/>
    <w:rsid w:val="14256000"/>
    <w:rsid w:val="1448292D"/>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FF4932"/>
    <w:rsid w:val="18035F6A"/>
    <w:rsid w:val="1830753E"/>
    <w:rsid w:val="18550589"/>
    <w:rsid w:val="185C58E1"/>
    <w:rsid w:val="186366A3"/>
    <w:rsid w:val="187A66B9"/>
    <w:rsid w:val="187F3411"/>
    <w:rsid w:val="1881324F"/>
    <w:rsid w:val="18A246AF"/>
    <w:rsid w:val="18F32680"/>
    <w:rsid w:val="18F80417"/>
    <w:rsid w:val="18FE1274"/>
    <w:rsid w:val="192F165F"/>
    <w:rsid w:val="195230E4"/>
    <w:rsid w:val="195E3B99"/>
    <w:rsid w:val="196E4FB3"/>
    <w:rsid w:val="19C51AEA"/>
    <w:rsid w:val="19CE1BFF"/>
    <w:rsid w:val="19E27BFB"/>
    <w:rsid w:val="19F1587E"/>
    <w:rsid w:val="1A1C0B7B"/>
    <w:rsid w:val="1A40430B"/>
    <w:rsid w:val="1A4C49E1"/>
    <w:rsid w:val="1A9A126F"/>
    <w:rsid w:val="1AA4601E"/>
    <w:rsid w:val="1ABB3621"/>
    <w:rsid w:val="1ABF7C53"/>
    <w:rsid w:val="1ADE6206"/>
    <w:rsid w:val="1AE14356"/>
    <w:rsid w:val="1AE7452F"/>
    <w:rsid w:val="1B073464"/>
    <w:rsid w:val="1B0B332F"/>
    <w:rsid w:val="1B5E2B2B"/>
    <w:rsid w:val="1BA06FEE"/>
    <w:rsid w:val="1BB22919"/>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90A2F"/>
    <w:rsid w:val="1DD6639F"/>
    <w:rsid w:val="1DE55E1B"/>
    <w:rsid w:val="1DEA2636"/>
    <w:rsid w:val="1E015BFF"/>
    <w:rsid w:val="1E261FEC"/>
    <w:rsid w:val="1E4A5D6E"/>
    <w:rsid w:val="1E5D014C"/>
    <w:rsid w:val="1E625159"/>
    <w:rsid w:val="1E6C052F"/>
    <w:rsid w:val="1E8017FF"/>
    <w:rsid w:val="1E8A1312"/>
    <w:rsid w:val="1EB31B66"/>
    <w:rsid w:val="1EB529F8"/>
    <w:rsid w:val="1EC035D7"/>
    <w:rsid w:val="1EF17AB3"/>
    <w:rsid w:val="1F0A0750"/>
    <w:rsid w:val="1F1F4D17"/>
    <w:rsid w:val="1F630DDF"/>
    <w:rsid w:val="1F8A3BD5"/>
    <w:rsid w:val="1FE63CE8"/>
    <w:rsid w:val="20254C14"/>
    <w:rsid w:val="204C2272"/>
    <w:rsid w:val="205E7BE3"/>
    <w:rsid w:val="208A18F1"/>
    <w:rsid w:val="208D63E6"/>
    <w:rsid w:val="20943FF9"/>
    <w:rsid w:val="20A506BA"/>
    <w:rsid w:val="20F63843"/>
    <w:rsid w:val="20FE18B0"/>
    <w:rsid w:val="21376EA4"/>
    <w:rsid w:val="213E3F71"/>
    <w:rsid w:val="21513A3C"/>
    <w:rsid w:val="215A766D"/>
    <w:rsid w:val="21667FDB"/>
    <w:rsid w:val="218A4F7E"/>
    <w:rsid w:val="219C1508"/>
    <w:rsid w:val="21FA5606"/>
    <w:rsid w:val="22046DF1"/>
    <w:rsid w:val="220A4513"/>
    <w:rsid w:val="22121299"/>
    <w:rsid w:val="229575D0"/>
    <w:rsid w:val="22B32E1B"/>
    <w:rsid w:val="22CD6AE0"/>
    <w:rsid w:val="236906A5"/>
    <w:rsid w:val="2375481A"/>
    <w:rsid w:val="23765F46"/>
    <w:rsid w:val="23797368"/>
    <w:rsid w:val="23822B30"/>
    <w:rsid w:val="23B06B01"/>
    <w:rsid w:val="23B828A0"/>
    <w:rsid w:val="23EE120B"/>
    <w:rsid w:val="23F8406C"/>
    <w:rsid w:val="2403705B"/>
    <w:rsid w:val="24066BDB"/>
    <w:rsid w:val="24110B80"/>
    <w:rsid w:val="24453591"/>
    <w:rsid w:val="24572D18"/>
    <w:rsid w:val="24841C1D"/>
    <w:rsid w:val="249D5D77"/>
    <w:rsid w:val="24B445FB"/>
    <w:rsid w:val="24BD6504"/>
    <w:rsid w:val="24C74F14"/>
    <w:rsid w:val="24D708E2"/>
    <w:rsid w:val="24FB6730"/>
    <w:rsid w:val="251B6F7E"/>
    <w:rsid w:val="252515BC"/>
    <w:rsid w:val="252D2E7E"/>
    <w:rsid w:val="25787665"/>
    <w:rsid w:val="258969EA"/>
    <w:rsid w:val="25F5013E"/>
    <w:rsid w:val="262A1C6D"/>
    <w:rsid w:val="262F627F"/>
    <w:rsid w:val="26315BFD"/>
    <w:rsid w:val="264A4407"/>
    <w:rsid w:val="26537397"/>
    <w:rsid w:val="26590269"/>
    <w:rsid w:val="2660154C"/>
    <w:rsid w:val="26A276B5"/>
    <w:rsid w:val="26BA68C7"/>
    <w:rsid w:val="26BB1824"/>
    <w:rsid w:val="26BF5E40"/>
    <w:rsid w:val="26F237CD"/>
    <w:rsid w:val="27057CC8"/>
    <w:rsid w:val="2719754A"/>
    <w:rsid w:val="2725126B"/>
    <w:rsid w:val="274C2D2B"/>
    <w:rsid w:val="2796594E"/>
    <w:rsid w:val="27BC024E"/>
    <w:rsid w:val="27BE3E87"/>
    <w:rsid w:val="27C17045"/>
    <w:rsid w:val="27C35275"/>
    <w:rsid w:val="283167B4"/>
    <w:rsid w:val="28682A73"/>
    <w:rsid w:val="289D577F"/>
    <w:rsid w:val="28AA1F85"/>
    <w:rsid w:val="28E404D9"/>
    <w:rsid w:val="28F4407D"/>
    <w:rsid w:val="291138C7"/>
    <w:rsid w:val="29120E51"/>
    <w:rsid w:val="29713020"/>
    <w:rsid w:val="29733D9F"/>
    <w:rsid w:val="29A61468"/>
    <w:rsid w:val="29BE37C1"/>
    <w:rsid w:val="29DD03DE"/>
    <w:rsid w:val="2A5039D7"/>
    <w:rsid w:val="2A665688"/>
    <w:rsid w:val="2A7D74CC"/>
    <w:rsid w:val="2A7F4563"/>
    <w:rsid w:val="2AB72260"/>
    <w:rsid w:val="2B3F4C1F"/>
    <w:rsid w:val="2B452058"/>
    <w:rsid w:val="2B4D1216"/>
    <w:rsid w:val="2B58393A"/>
    <w:rsid w:val="2B8030A5"/>
    <w:rsid w:val="2BE06712"/>
    <w:rsid w:val="2C002162"/>
    <w:rsid w:val="2C095760"/>
    <w:rsid w:val="2C0D429C"/>
    <w:rsid w:val="2C4016E9"/>
    <w:rsid w:val="2C6E581C"/>
    <w:rsid w:val="2C717596"/>
    <w:rsid w:val="2C7A7AA0"/>
    <w:rsid w:val="2CA30589"/>
    <w:rsid w:val="2CB57056"/>
    <w:rsid w:val="2CC31B0E"/>
    <w:rsid w:val="2D146D2C"/>
    <w:rsid w:val="2D155FB3"/>
    <w:rsid w:val="2D3B7B03"/>
    <w:rsid w:val="2D440581"/>
    <w:rsid w:val="2D470656"/>
    <w:rsid w:val="2D493ADC"/>
    <w:rsid w:val="2D55451C"/>
    <w:rsid w:val="2D5B158F"/>
    <w:rsid w:val="2D865C52"/>
    <w:rsid w:val="2DD85F0E"/>
    <w:rsid w:val="2DF144D1"/>
    <w:rsid w:val="2DFB6036"/>
    <w:rsid w:val="2E037C91"/>
    <w:rsid w:val="2E3472AB"/>
    <w:rsid w:val="2E3D031C"/>
    <w:rsid w:val="2E916CDE"/>
    <w:rsid w:val="2EA86437"/>
    <w:rsid w:val="2EB103B1"/>
    <w:rsid w:val="2F0F71E6"/>
    <w:rsid w:val="2F125BF3"/>
    <w:rsid w:val="2F13163F"/>
    <w:rsid w:val="2F383A5C"/>
    <w:rsid w:val="2F3A7B8C"/>
    <w:rsid w:val="2F4559EE"/>
    <w:rsid w:val="2F742945"/>
    <w:rsid w:val="2F9D4B14"/>
    <w:rsid w:val="2FBE43F5"/>
    <w:rsid w:val="2FC53C32"/>
    <w:rsid w:val="2FC55B9D"/>
    <w:rsid w:val="2FD157C7"/>
    <w:rsid w:val="300A115E"/>
    <w:rsid w:val="301241C3"/>
    <w:rsid w:val="30296BB8"/>
    <w:rsid w:val="308811B6"/>
    <w:rsid w:val="30881C59"/>
    <w:rsid w:val="309D4655"/>
    <w:rsid w:val="30C026F3"/>
    <w:rsid w:val="30EA4040"/>
    <w:rsid w:val="315423FA"/>
    <w:rsid w:val="315B7AEC"/>
    <w:rsid w:val="31710789"/>
    <w:rsid w:val="317503B0"/>
    <w:rsid w:val="31D53C4D"/>
    <w:rsid w:val="31F2254D"/>
    <w:rsid w:val="31F71A11"/>
    <w:rsid w:val="31FE12AB"/>
    <w:rsid w:val="320E382B"/>
    <w:rsid w:val="321A185A"/>
    <w:rsid w:val="321B4537"/>
    <w:rsid w:val="32513A45"/>
    <w:rsid w:val="325B682D"/>
    <w:rsid w:val="32B50B2C"/>
    <w:rsid w:val="32C84DFE"/>
    <w:rsid w:val="32FA3DAF"/>
    <w:rsid w:val="332D5F33"/>
    <w:rsid w:val="3337740D"/>
    <w:rsid w:val="337F1035"/>
    <w:rsid w:val="33805DA1"/>
    <w:rsid w:val="338C56E4"/>
    <w:rsid w:val="33934B2E"/>
    <w:rsid w:val="339441CF"/>
    <w:rsid w:val="33B60D2B"/>
    <w:rsid w:val="33C37075"/>
    <w:rsid w:val="34062C68"/>
    <w:rsid w:val="341C738A"/>
    <w:rsid w:val="348F0A80"/>
    <w:rsid w:val="349158FD"/>
    <w:rsid w:val="34A131A3"/>
    <w:rsid w:val="34A26022"/>
    <w:rsid w:val="34B0567F"/>
    <w:rsid w:val="34B443F6"/>
    <w:rsid w:val="34E12F4E"/>
    <w:rsid w:val="34EB31AA"/>
    <w:rsid w:val="34EC41DF"/>
    <w:rsid w:val="35040A33"/>
    <w:rsid w:val="351A24AD"/>
    <w:rsid w:val="35273121"/>
    <w:rsid w:val="354E123E"/>
    <w:rsid w:val="354F2AD2"/>
    <w:rsid w:val="35C36B07"/>
    <w:rsid w:val="35C60438"/>
    <w:rsid w:val="360D6591"/>
    <w:rsid w:val="361F2C5E"/>
    <w:rsid w:val="363976F7"/>
    <w:rsid w:val="36681B72"/>
    <w:rsid w:val="366E68DA"/>
    <w:rsid w:val="36BD137C"/>
    <w:rsid w:val="36CB1803"/>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C63525"/>
    <w:rsid w:val="38CC58A6"/>
    <w:rsid w:val="38FC0060"/>
    <w:rsid w:val="38FC32F5"/>
    <w:rsid w:val="38FD17EE"/>
    <w:rsid w:val="39030A9D"/>
    <w:rsid w:val="39113643"/>
    <w:rsid w:val="393A37CB"/>
    <w:rsid w:val="396866FD"/>
    <w:rsid w:val="39741B90"/>
    <w:rsid w:val="397E03C2"/>
    <w:rsid w:val="39BB3AC3"/>
    <w:rsid w:val="39BC3B6C"/>
    <w:rsid w:val="39DF043A"/>
    <w:rsid w:val="39FE32B3"/>
    <w:rsid w:val="39FF59A7"/>
    <w:rsid w:val="3A06128C"/>
    <w:rsid w:val="3A070DC0"/>
    <w:rsid w:val="3A2065C7"/>
    <w:rsid w:val="3A213653"/>
    <w:rsid w:val="3A3315EB"/>
    <w:rsid w:val="3A34378D"/>
    <w:rsid w:val="3A36160B"/>
    <w:rsid w:val="3A6F51D2"/>
    <w:rsid w:val="3AA50AA5"/>
    <w:rsid w:val="3AEB3C21"/>
    <w:rsid w:val="3AFB6043"/>
    <w:rsid w:val="3B041E40"/>
    <w:rsid w:val="3B191C47"/>
    <w:rsid w:val="3B205806"/>
    <w:rsid w:val="3B295FAA"/>
    <w:rsid w:val="3B5C6A72"/>
    <w:rsid w:val="3B7F2CAA"/>
    <w:rsid w:val="3BEB3716"/>
    <w:rsid w:val="3C1A13DF"/>
    <w:rsid w:val="3C3A4FEB"/>
    <w:rsid w:val="3C4F0EBB"/>
    <w:rsid w:val="3C635FA0"/>
    <w:rsid w:val="3C8659AE"/>
    <w:rsid w:val="3C942B7F"/>
    <w:rsid w:val="3CA66A58"/>
    <w:rsid w:val="3CBE3C7C"/>
    <w:rsid w:val="3CD165D4"/>
    <w:rsid w:val="3CE32014"/>
    <w:rsid w:val="3CE6704E"/>
    <w:rsid w:val="3CF316DB"/>
    <w:rsid w:val="3D39355A"/>
    <w:rsid w:val="3D3C44DD"/>
    <w:rsid w:val="3D5001A7"/>
    <w:rsid w:val="3D5B3EF0"/>
    <w:rsid w:val="3D5C58DF"/>
    <w:rsid w:val="3D9214B7"/>
    <w:rsid w:val="3DB23DD9"/>
    <w:rsid w:val="3DF57F08"/>
    <w:rsid w:val="3E143052"/>
    <w:rsid w:val="3E390C78"/>
    <w:rsid w:val="3E500D27"/>
    <w:rsid w:val="3E573ADE"/>
    <w:rsid w:val="3EA55E90"/>
    <w:rsid w:val="3ECD0998"/>
    <w:rsid w:val="3ED508CA"/>
    <w:rsid w:val="3EF25E2A"/>
    <w:rsid w:val="3F1109BC"/>
    <w:rsid w:val="3F1B7587"/>
    <w:rsid w:val="3F805B16"/>
    <w:rsid w:val="3FA42170"/>
    <w:rsid w:val="3FAF36DB"/>
    <w:rsid w:val="3FE1257F"/>
    <w:rsid w:val="405759DA"/>
    <w:rsid w:val="406A14B3"/>
    <w:rsid w:val="407C15D8"/>
    <w:rsid w:val="40837754"/>
    <w:rsid w:val="409D1B0D"/>
    <w:rsid w:val="40F97CA8"/>
    <w:rsid w:val="410B29F4"/>
    <w:rsid w:val="41171B69"/>
    <w:rsid w:val="412C1F7C"/>
    <w:rsid w:val="41415E9E"/>
    <w:rsid w:val="414913C8"/>
    <w:rsid w:val="41883A8E"/>
    <w:rsid w:val="418A60B4"/>
    <w:rsid w:val="41943621"/>
    <w:rsid w:val="41B370D6"/>
    <w:rsid w:val="41B71371"/>
    <w:rsid w:val="42212582"/>
    <w:rsid w:val="42625CA5"/>
    <w:rsid w:val="42755843"/>
    <w:rsid w:val="42794CE2"/>
    <w:rsid w:val="428704C4"/>
    <w:rsid w:val="42C70708"/>
    <w:rsid w:val="42E0254C"/>
    <w:rsid w:val="42F40D67"/>
    <w:rsid w:val="43024C98"/>
    <w:rsid w:val="43066FF8"/>
    <w:rsid w:val="43083995"/>
    <w:rsid w:val="430B231C"/>
    <w:rsid w:val="43146FF6"/>
    <w:rsid w:val="433204F8"/>
    <w:rsid w:val="433C3AAA"/>
    <w:rsid w:val="4345322A"/>
    <w:rsid w:val="434C6DAF"/>
    <w:rsid w:val="43580CE8"/>
    <w:rsid w:val="43600192"/>
    <w:rsid w:val="43964A1C"/>
    <w:rsid w:val="43E22B61"/>
    <w:rsid w:val="44031DB9"/>
    <w:rsid w:val="447943E7"/>
    <w:rsid w:val="448C57E4"/>
    <w:rsid w:val="44B41FCD"/>
    <w:rsid w:val="44F46625"/>
    <w:rsid w:val="44F52628"/>
    <w:rsid w:val="454C191C"/>
    <w:rsid w:val="45547C0E"/>
    <w:rsid w:val="4556652D"/>
    <w:rsid w:val="45861251"/>
    <w:rsid w:val="459911EE"/>
    <w:rsid w:val="4599227F"/>
    <w:rsid w:val="45BE024B"/>
    <w:rsid w:val="45BE2AD4"/>
    <w:rsid w:val="45C2437E"/>
    <w:rsid w:val="45EA2721"/>
    <w:rsid w:val="460A0745"/>
    <w:rsid w:val="46300B95"/>
    <w:rsid w:val="463A3C1C"/>
    <w:rsid w:val="466E6ADA"/>
    <w:rsid w:val="4699240B"/>
    <w:rsid w:val="46B7014A"/>
    <w:rsid w:val="46ED5CA5"/>
    <w:rsid w:val="46FE4C6E"/>
    <w:rsid w:val="47062AB6"/>
    <w:rsid w:val="471A6376"/>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147605"/>
    <w:rsid w:val="491C7E92"/>
    <w:rsid w:val="492910E2"/>
    <w:rsid w:val="492E569F"/>
    <w:rsid w:val="494A1301"/>
    <w:rsid w:val="494B446A"/>
    <w:rsid w:val="494E1C27"/>
    <w:rsid w:val="4960323C"/>
    <w:rsid w:val="497F0713"/>
    <w:rsid w:val="49A36AB0"/>
    <w:rsid w:val="49A97E85"/>
    <w:rsid w:val="49D2118A"/>
    <w:rsid w:val="49D92DDD"/>
    <w:rsid w:val="49EF5321"/>
    <w:rsid w:val="4A347F6C"/>
    <w:rsid w:val="4A444508"/>
    <w:rsid w:val="4A456A14"/>
    <w:rsid w:val="4A66451F"/>
    <w:rsid w:val="4A9D0D79"/>
    <w:rsid w:val="4A9D45B8"/>
    <w:rsid w:val="4A9F545E"/>
    <w:rsid w:val="4AAB056F"/>
    <w:rsid w:val="4B08573B"/>
    <w:rsid w:val="4B626F00"/>
    <w:rsid w:val="4B743C77"/>
    <w:rsid w:val="4B8B339F"/>
    <w:rsid w:val="4BC53B5B"/>
    <w:rsid w:val="4BE53FE4"/>
    <w:rsid w:val="4C1242C5"/>
    <w:rsid w:val="4C340FD6"/>
    <w:rsid w:val="4C4D4AF8"/>
    <w:rsid w:val="4C744BB3"/>
    <w:rsid w:val="4C851F32"/>
    <w:rsid w:val="4C964045"/>
    <w:rsid w:val="4CE2366D"/>
    <w:rsid w:val="4CF364F1"/>
    <w:rsid w:val="4D010671"/>
    <w:rsid w:val="4D316B33"/>
    <w:rsid w:val="4D352FBB"/>
    <w:rsid w:val="4D743D8A"/>
    <w:rsid w:val="4D9A14C4"/>
    <w:rsid w:val="4DA96C4E"/>
    <w:rsid w:val="4DCD4142"/>
    <w:rsid w:val="4DF70A62"/>
    <w:rsid w:val="4E0614E3"/>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2F4C40"/>
    <w:rsid w:val="50343739"/>
    <w:rsid w:val="50623802"/>
    <w:rsid w:val="50652E94"/>
    <w:rsid w:val="508700F4"/>
    <w:rsid w:val="50A970CD"/>
    <w:rsid w:val="50C72D83"/>
    <w:rsid w:val="50EC664D"/>
    <w:rsid w:val="5163596F"/>
    <w:rsid w:val="51642065"/>
    <w:rsid w:val="51895F2D"/>
    <w:rsid w:val="51A0460E"/>
    <w:rsid w:val="51A60230"/>
    <w:rsid w:val="51A823AB"/>
    <w:rsid w:val="51CC648B"/>
    <w:rsid w:val="51E202B2"/>
    <w:rsid w:val="51FC6565"/>
    <w:rsid w:val="52030FE6"/>
    <w:rsid w:val="52065DA2"/>
    <w:rsid w:val="522E4D5D"/>
    <w:rsid w:val="524A71B5"/>
    <w:rsid w:val="52642695"/>
    <w:rsid w:val="5279373F"/>
    <w:rsid w:val="528B1069"/>
    <w:rsid w:val="528D5BD8"/>
    <w:rsid w:val="528F0DD4"/>
    <w:rsid w:val="52930D7F"/>
    <w:rsid w:val="5296438C"/>
    <w:rsid w:val="530F2B4C"/>
    <w:rsid w:val="53144C5A"/>
    <w:rsid w:val="53186F98"/>
    <w:rsid w:val="53AE0CB6"/>
    <w:rsid w:val="53BE69F0"/>
    <w:rsid w:val="53D170F4"/>
    <w:rsid w:val="53E1541E"/>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CB74D0"/>
    <w:rsid w:val="58D20175"/>
    <w:rsid w:val="59303772"/>
    <w:rsid w:val="59340E0B"/>
    <w:rsid w:val="59854F0A"/>
    <w:rsid w:val="59AD7B0E"/>
    <w:rsid w:val="59CD28EC"/>
    <w:rsid w:val="59D55070"/>
    <w:rsid w:val="59D55FBA"/>
    <w:rsid w:val="59DA18AC"/>
    <w:rsid w:val="59E546A4"/>
    <w:rsid w:val="59FD6E5D"/>
    <w:rsid w:val="5A2F5AF5"/>
    <w:rsid w:val="5A4439EB"/>
    <w:rsid w:val="5A637B38"/>
    <w:rsid w:val="5A8C0168"/>
    <w:rsid w:val="5A8D1386"/>
    <w:rsid w:val="5A93303B"/>
    <w:rsid w:val="5ABB6C3C"/>
    <w:rsid w:val="5AC245CB"/>
    <w:rsid w:val="5ACD77B4"/>
    <w:rsid w:val="5AF81615"/>
    <w:rsid w:val="5AFF7905"/>
    <w:rsid w:val="5B1836AE"/>
    <w:rsid w:val="5B492C91"/>
    <w:rsid w:val="5B6B15AA"/>
    <w:rsid w:val="5B987BF7"/>
    <w:rsid w:val="5BAF6495"/>
    <w:rsid w:val="5BF25754"/>
    <w:rsid w:val="5C1271C4"/>
    <w:rsid w:val="5C1E13B0"/>
    <w:rsid w:val="5C1E7291"/>
    <w:rsid w:val="5C662A50"/>
    <w:rsid w:val="5C9D06C7"/>
    <w:rsid w:val="5CA61CCA"/>
    <w:rsid w:val="5CC73DD6"/>
    <w:rsid w:val="5CEA2522"/>
    <w:rsid w:val="5CF2777D"/>
    <w:rsid w:val="5D0D01B7"/>
    <w:rsid w:val="5D2708E3"/>
    <w:rsid w:val="5D664D05"/>
    <w:rsid w:val="5D6E48CE"/>
    <w:rsid w:val="5D7C584C"/>
    <w:rsid w:val="5D7F0635"/>
    <w:rsid w:val="5D894E7F"/>
    <w:rsid w:val="5D8D080D"/>
    <w:rsid w:val="5D935CE3"/>
    <w:rsid w:val="5DA402F0"/>
    <w:rsid w:val="5DBF6493"/>
    <w:rsid w:val="5DC05209"/>
    <w:rsid w:val="5DC12605"/>
    <w:rsid w:val="5E000CA6"/>
    <w:rsid w:val="5E3A6AA2"/>
    <w:rsid w:val="5E3E4C2D"/>
    <w:rsid w:val="5E5867E1"/>
    <w:rsid w:val="5E674F7E"/>
    <w:rsid w:val="5E874CE8"/>
    <w:rsid w:val="5E9D1B20"/>
    <w:rsid w:val="5EB00E5C"/>
    <w:rsid w:val="5ED35331"/>
    <w:rsid w:val="5EE37831"/>
    <w:rsid w:val="5EEB7859"/>
    <w:rsid w:val="5F0A3D5F"/>
    <w:rsid w:val="5F213F68"/>
    <w:rsid w:val="5F2F6349"/>
    <w:rsid w:val="5F600D4E"/>
    <w:rsid w:val="5F883F49"/>
    <w:rsid w:val="5F8E3078"/>
    <w:rsid w:val="5F956DDF"/>
    <w:rsid w:val="5F991667"/>
    <w:rsid w:val="5FA416F1"/>
    <w:rsid w:val="5FD93954"/>
    <w:rsid w:val="5FDC55D3"/>
    <w:rsid w:val="5FF469EE"/>
    <w:rsid w:val="5FFB0094"/>
    <w:rsid w:val="60160416"/>
    <w:rsid w:val="60305CC7"/>
    <w:rsid w:val="604A1238"/>
    <w:rsid w:val="606107A7"/>
    <w:rsid w:val="609D4E6C"/>
    <w:rsid w:val="60A62DBA"/>
    <w:rsid w:val="60C03CCF"/>
    <w:rsid w:val="60D42D03"/>
    <w:rsid w:val="60E62C9D"/>
    <w:rsid w:val="611B62E0"/>
    <w:rsid w:val="615E501E"/>
    <w:rsid w:val="6180773A"/>
    <w:rsid w:val="618B0BA0"/>
    <w:rsid w:val="61A06374"/>
    <w:rsid w:val="6221139D"/>
    <w:rsid w:val="622470A5"/>
    <w:rsid w:val="62247F4C"/>
    <w:rsid w:val="622D2FAA"/>
    <w:rsid w:val="624375DB"/>
    <w:rsid w:val="625D25EA"/>
    <w:rsid w:val="62857C4E"/>
    <w:rsid w:val="6286607D"/>
    <w:rsid w:val="62A62781"/>
    <w:rsid w:val="62E05FC6"/>
    <w:rsid w:val="62E53885"/>
    <w:rsid w:val="62FD3864"/>
    <w:rsid w:val="63464F7D"/>
    <w:rsid w:val="634B0772"/>
    <w:rsid w:val="636E7A2E"/>
    <w:rsid w:val="63815A2A"/>
    <w:rsid w:val="63877E7E"/>
    <w:rsid w:val="63BF7E8E"/>
    <w:rsid w:val="63C01CBD"/>
    <w:rsid w:val="63FC4F9D"/>
    <w:rsid w:val="640A3035"/>
    <w:rsid w:val="643F3D04"/>
    <w:rsid w:val="644204E6"/>
    <w:rsid w:val="64635DFB"/>
    <w:rsid w:val="64683A23"/>
    <w:rsid w:val="64942E6C"/>
    <w:rsid w:val="64AF3910"/>
    <w:rsid w:val="64BC2C9E"/>
    <w:rsid w:val="64C626B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C73EC"/>
    <w:rsid w:val="69054B5C"/>
    <w:rsid w:val="69293200"/>
    <w:rsid w:val="694347AF"/>
    <w:rsid w:val="694F06EB"/>
    <w:rsid w:val="6963607F"/>
    <w:rsid w:val="696403F8"/>
    <w:rsid w:val="69766916"/>
    <w:rsid w:val="698D63CB"/>
    <w:rsid w:val="698F77F4"/>
    <w:rsid w:val="69B23B9D"/>
    <w:rsid w:val="69B5510C"/>
    <w:rsid w:val="69E82867"/>
    <w:rsid w:val="6A086F70"/>
    <w:rsid w:val="6A540655"/>
    <w:rsid w:val="6A5B510D"/>
    <w:rsid w:val="6A5F2917"/>
    <w:rsid w:val="6A8D4C80"/>
    <w:rsid w:val="6AA159CB"/>
    <w:rsid w:val="6AA26939"/>
    <w:rsid w:val="6ACB1DCC"/>
    <w:rsid w:val="6AD50437"/>
    <w:rsid w:val="6AE4041A"/>
    <w:rsid w:val="6AEE57CB"/>
    <w:rsid w:val="6B3030A0"/>
    <w:rsid w:val="6B3E2D98"/>
    <w:rsid w:val="6B417EB3"/>
    <w:rsid w:val="6B707214"/>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92611A"/>
    <w:rsid w:val="6D981B81"/>
    <w:rsid w:val="6D994274"/>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F00046B"/>
    <w:rsid w:val="6F065AB6"/>
    <w:rsid w:val="6F3364F9"/>
    <w:rsid w:val="6F441647"/>
    <w:rsid w:val="6F4D0F66"/>
    <w:rsid w:val="6F505503"/>
    <w:rsid w:val="6F57424B"/>
    <w:rsid w:val="6F612830"/>
    <w:rsid w:val="6F9E5543"/>
    <w:rsid w:val="6FD10B10"/>
    <w:rsid w:val="6FE61F22"/>
    <w:rsid w:val="6FFD00DA"/>
    <w:rsid w:val="70352925"/>
    <w:rsid w:val="70505871"/>
    <w:rsid w:val="7059136B"/>
    <w:rsid w:val="7067165B"/>
    <w:rsid w:val="706B4405"/>
    <w:rsid w:val="70801B07"/>
    <w:rsid w:val="709A7A5C"/>
    <w:rsid w:val="70A1406F"/>
    <w:rsid w:val="70B0465E"/>
    <w:rsid w:val="70FE623D"/>
    <w:rsid w:val="71233682"/>
    <w:rsid w:val="71492A71"/>
    <w:rsid w:val="715B3C2A"/>
    <w:rsid w:val="717A163C"/>
    <w:rsid w:val="71803C89"/>
    <w:rsid w:val="71994E64"/>
    <w:rsid w:val="71CA7676"/>
    <w:rsid w:val="71E05943"/>
    <w:rsid w:val="71EA7695"/>
    <w:rsid w:val="71EE7FB9"/>
    <w:rsid w:val="72536FDC"/>
    <w:rsid w:val="726D181E"/>
    <w:rsid w:val="727D75DF"/>
    <w:rsid w:val="72BB74DD"/>
    <w:rsid w:val="72CC013F"/>
    <w:rsid w:val="72D36E77"/>
    <w:rsid w:val="72DD2BAD"/>
    <w:rsid w:val="72FB66FD"/>
    <w:rsid w:val="73020D5E"/>
    <w:rsid w:val="732872C5"/>
    <w:rsid w:val="7360086A"/>
    <w:rsid w:val="739A0DC0"/>
    <w:rsid w:val="73B920B2"/>
    <w:rsid w:val="74085669"/>
    <w:rsid w:val="740A4EF9"/>
    <w:rsid w:val="74412921"/>
    <w:rsid w:val="74594423"/>
    <w:rsid w:val="7475710D"/>
    <w:rsid w:val="747621BD"/>
    <w:rsid w:val="750337C6"/>
    <w:rsid w:val="75086A21"/>
    <w:rsid w:val="750B356A"/>
    <w:rsid w:val="750C4DDC"/>
    <w:rsid w:val="7510569F"/>
    <w:rsid w:val="756950CA"/>
    <w:rsid w:val="75922EAF"/>
    <w:rsid w:val="75AD28A1"/>
    <w:rsid w:val="75C224B9"/>
    <w:rsid w:val="76013E56"/>
    <w:rsid w:val="760A7D9D"/>
    <w:rsid w:val="76233B7C"/>
    <w:rsid w:val="76335855"/>
    <w:rsid w:val="763E51CC"/>
    <w:rsid w:val="76465F91"/>
    <w:rsid w:val="766026E6"/>
    <w:rsid w:val="76B770A6"/>
    <w:rsid w:val="76CE7275"/>
    <w:rsid w:val="76E4362B"/>
    <w:rsid w:val="770A1659"/>
    <w:rsid w:val="7711659E"/>
    <w:rsid w:val="7712242B"/>
    <w:rsid w:val="771F60E4"/>
    <w:rsid w:val="77231D40"/>
    <w:rsid w:val="773A7A8E"/>
    <w:rsid w:val="77466345"/>
    <w:rsid w:val="77471485"/>
    <w:rsid w:val="77825F67"/>
    <w:rsid w:val="77951211"/>
    <w:rsid w:val="77B91A42"/>
    <w:rsid w:val="77C5780E"/>
    <w:rsid w:val="77E26D03"/>
    <w:rsid w:val="77FE04E7"/>
    <w:rsid w:val="782F327E"/>
    <w:rsid w:val="78397A32"/>
    <w:rsid w:val="78A06277"/>
    <w:rsid w:val="78C64F8E"/>
    <w:rsid w:val="79105016"/>
    <w:rsid w:val="791A1EB8"/>
    <w:rsid w:val="791E4FA3"/>
    <w:rsid w:val="797167CA"/>
    <w:rsid w:val="798E4E1E"/>
    <w:rsid w:val="799E2AB3"/>
    <w:rsid w:val="79A37A59"/>
    <w:rsid w:val="79C61A14"/>
    <w:rsid w:val="79C85435"/>
    <w:rsid w:val="79D16AD3"/>
    <w:rsid w:val="79EE5B89"/>
    <w:rsid w:val="79F05A1B"/>
    <w:rsid w:val="7A020CA3"/>
    <w:rsid w:val="7A067805"/>
    <w:rsid w:val="7A376AEF"/>
    <w:rsid w:val="7A3E570B"/>
    <w:rsid w:val="7A627545"/>
    <w:rsid w:val="7A811C50"/>
    <w:rsid w:val="7AA408FA"/>
    <w:rsid w:val="7B123707"/>
    <w:rsid w:val="7B236D19"/>
    <w:rsid w:val="7B307625"/>
    <w:rsid w:val="7B347CEC"/>
    <w:rsid w:val="7B576B4E"/>
    <w:rsid w:val="7B761608"/>
    <w:rsid w:val="7B87133C"/>
    <w:rsid w:val="7B9234A2"/>
    <w:rsid w:val="7C105077"/>
    <w:rsid w:val="7C3810A9"/>
    <w:rsid w:val="7C416F95"/>
    <w:rsid w:val="7C4E5B9F"/>
    <w:rsid w:val="7C580760"/>
    <w:rsid w:val="7C8B3404"/>
    <w:rsid w:val="7C8D6ADA"/>
    <w:rsid w:val="7C9C47E0"/>
    <w:rsid w:val="7C9E070C"/>
    <w:rsid w:val="7CAE22D0"/>
    <w:rsid w:val="7CBB152F"/>
    <w:rsid w:val="7D2C343C"/>
    <w:rsid w:val="7D4C3183"/>
    <w:rsid w:val="7D5F378A"/>
    <w:rsid w:val="7D9314F6"/>
    <w:rsid w:val="7D9B2963"/>
    <w:rsid w:val="7D9C06C0"/>
    <w:rsid w:val="7DBE5AB2"/>
    <w:rsid w:val="7DDB441F"/>
    <w:rsid w:val="7E4B1AB3"/>
    <w:rsid w:val="7E58216F"/>
    <w:rsid w:val="7E58478A"/>
    <w:rsid w:val="7E70415D"/>
    <w:rsid w:val="7E7F1745"/>
    <w:rsid w:val="7E886BD8"/>
    <w:rsid w:val="7E922F1E"/>
    <w:rsid w:val="7E9C1A45"/>
    <w:rsid w:val="7EEF7176"/>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1039</Words>
  <Characters>5923</Characters>
  <Lines>49</Lines>
  <Paragraphs>13</Paragraphs>
  <TotalTime>1</TotalTime>
  <ScaleCrop>false</ScaleCrop>
  <LinksUpToDate>false</LinksUpToDate>
  <CharactersWithSpaces>6949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CMCC-Jiayao</cp:lastModifiedBy>
  <dcterms:modified xsi:type="dcterms:W3CDTF">2024-05-10T08:34:06Z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36956BD4215C47CFB53517994FC8A291_13</vt:lpwstr>
  </property>
</Properties>
</file>